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2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</w:t>
      </w:r>
      <w:r/>
    </w:p>
    <w:p>
      <w:pPr>
        <w:pStyle w:val="882"/>
        <w:ind w:firstLine="72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к отчету об исполнении консолидированного бюджета</w:t>
      </w:r>
      <w:r/>
    </w:p>
    <w:p>
      <w:pPr>
        <w:pStyle w:val="882"/>
        <w:ind w:firstLine="720"/>
        <w:jc w:val="center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Саратовской области </w:t>
      </w:r>
      <w:r>
        <w:rPr>
          <w:sz w:val="28"/>
          <w:szCs w:val="28"/>
        </w:rPr>
        <w:t xml:space="preserve">на 1 января 2022 года</w:t>
      </w:r>
      <w:r/>
    </w:p>
    <w:p>
      <w:pPr>
        <w:pStyle w:val="882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367"/>
      </w:tblGrid>
      <w:tr>
        <w:trPr>
          <w:trHeight w:val="313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1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none" w:color="000000" w:sz="4" w:space="0"/>
            </w:tcBorders>
            <w:tcW w:w="187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КОДЫ</w:t>
            </w:r>
            <w:r/>
          </w:p>
        </w:tc>
      </w:tr>
      <w:tr>
        <w:trPr>
          <w:trHeight w:val="223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по ОКУД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0503360</w:t>
            </w:r>
            <w:r/>
          </w:p>
        </w:tc>
      </w:tr>
      <w:tr>
        <w:trPr>
          <w:trHeight w:val="268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01</w:t>
            </w:r>
            <w:r>
              <w:rPr>
                <w:sz w:val="24"/>
                <w:szCs w:val="24"/>
              </w:rPr>
              <w:t xml:space="preserve">.01.20</w:t>
            </w:r>
            <w:r>
              <w:rPr>
                <w:sz w:val="24"/>
                <w:szCs w:val="24"/>
                <w:lang w:val="en-US"/>
              </w:rPr>
              <w:t xml:space="preserve">2</w:t>
            </w:r>
            <w:r>
              <w:rPr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372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ОКПО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23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финансового органа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финансов Саратовской области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по БК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98"/>
        </w:trPr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бюджета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Консолидированный бюджет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ОКТМО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63701000</w:t>
            </w:r>
            <w:r/>
          </w:p>
        </w:tc>
      </w:tr>
      <w:tr>
        <w:trPr>
          <w:trHeight w:val="298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171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Периодичность: годовая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98"/>
        </w:trPr>
        <w:tc>
          <w:tcPr>
            <w:gridSpan w:val="2"/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171" w:type="dxa"/>
            <w:vAlign w:val="center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измерения: руб.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873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ОКЕИ</w:t>
            </w:r>
            <w:r/>
          </w:p>
        </w:tc>
        <w:tc>
          <w:tcPr>
            <w:shd w:val="clear" w:fill="auto" w:color="auto"/>
            <w:tcBorders>
              <w:left w:val="single" w:sz="8" w:space="0" w:color="auto"/>
              <w:top w:val="single" w:sz="8" w:space="0" w:color="auto"/>
              <w:right w:val="single" w:sz="8" w:space="0" w:color="auto"/>
              <w:bottom w:val="single" w:sz="8" w:space="0" w:color="auto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383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 «Организационная структура субъекта бюджетной отчетности»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консолидированного бюджета Саратовской области.</w:t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Годовая бюджетная отчетность за 2021 год составлена на основании соответствующей бюджетной отчетности 41 главных распорядителей средств областного бюджета, консолидированной отчетности финансовых органов </w:t>
      </w:r>
      <w:r>
        <w:rPr>
          <w:sz w:val="28"/>
          <w:szCs w:val="28"/>
          <w:highlight w:val="white"/>
        </w:rPr>
        <w:br/>
        <w:t xml:space="preserve">38 муниципальных районов области и отчетности финан</w:t>
      </w:r>
      <w:r>
        <w:rPr>
          <w:sz w:val="28"/>
          <w:szCs w:val="28"/>
          <w:highlight w:val="white"/>
        </w:rPr>
        <w:t xml:space="preserve">совых органов </w:t>
      </w:r>
      <w:r>
        <w:rPr>
          <w:sz w:val="28"/>
          <w:szCs w:val="28"/>
          <w:highlight w:val="white"/>
        </w:rPr>
        <w:br/>
        <w:t xml:space="preserve">4-х городских округов области, территориального фонда обязательного медицинского страхования Саратовской области.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По состоянию на 1 января 2022 года на территории области функционировало 624 органов государственной власти области и органов м</w:t>
      </w:r>
      <w:r>
        <w:rPr>
          <w:sz w:val="28"/>
          <w:szCs w:val="28"/>
        </w:rPr>
        <w:t xml:space="preserve">естного самоуправления и 2904 областных и муниципальных учреждений, 170 унитарных предприятий, в том числе 8 государственных и 162 муниципальных унитарных предприятия.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течение 2021 года за счет проводимых мер по оптимизации сети учреждений бюджетной сфер</w:t>
      </w:r>
      <w:r>
        <w:rPr>
          <w:sz w:val="28"/>
          <w:szCs w:val="28"/>
        </w:rPr>
        <w:t xml:space="preserve">ы общее количество учреждений сократилось на 59 единиц. Общее число государственных (муниципальных) унитарных предприятий сократилось на 10 единиц. </w:t>
      </w:r>
      <w:r/>
    </w:p>
    <w:p>
      <w:pPr>
        <w:ind w:firstLine="709"/>
        <w:jc w:val="both"/>
        <w:rPr>
          <w:sz w:val="28"/>
          <w:szCs w:val="28"/>
          <w:highlight w:val="cyan"/>
        </w:rPr>
      </w:pPr>
      <w:r>
        <w:rPr>
          <w:sz w:val="28"/>
          <w:szCs w:val="28"/>
          <w:highlight w:val="cyan"/>
        </w:rPr>
      </w:r>
      <w:r/>
    </w:p>
    <w:p>
      <w:pPr>
        <w:jc w:val="center"/>
        <w:rPr>
          <w:b/>
          <w:sz w:val="12"/>
          <w:szCs w:val="12"/>
          <w:highlight w:val="yellow"/>
        </w:rPr>
      </w:pPr>
      <w:r>
        <w:rPr>
          <w:b/>
          <w:sz w:val="12"/>
          <w:szCs w:val="12"/>
          <w:highlight w:val="yellow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Раздел 2 «Результаты деятельности субъекта бюджетной отчетности»</w:t>
      </w:r>
      <w:r/>
    </w:p>
    <w:p>
      <w:pPr>
        <w:ind w:firstLine="700"/>
        <w:jc w:val="both"/>
        <w:shd w:val="clear" w:fill="FFFFFF" w:color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/>
    </w:p>
    <w:p>
      <w:pPr>
        <w:ind w:firstLine="700"/>
        <w:jc w:val="both"/>
        <w:shd w:val="clear" w:fill="FFFFFF" w:color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Формирование бухгалтерской отчетности о</w:t>
      </w:r>
      <w:r>
        <w:rPr>
          <w:sz w:val="28"/>
          <w:szCs w:val="28"/>
          <w:highlight w:val="white"/>
        </w:rPr>
        <w:t xml:space="preserve">существляется в соответствии с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sz w:val="28"/>
          <w:szCs w:val="28"/>
          <w:highlight w:val="white"/>
        </w:rPr>
        <w:t xml:space="preserve">системы Российской Федерации», от 25 марта 2011 года </w:t>
      </w:r>
      <w:r>
        <w:rPr>
          <w:sz w:val="28"/>
          <w:szCs w:val="28"/>
          <w:highlight w:val="white"/>
        </w:rPr>
        <w:br/>
        <w:t xml:space="preserve">№ 33н «Об утверждении Инструкции о порядке составления, представления годовой, квартальной бухгалтерской отчетности государственных </w:t>
      </w:r>
      <w:r>
        <w:rPr>
          <w:sz w:val="28"/>
          <w:szCs w:val="28"/>
          <w:highlight w:val="white"/>
        </w:rPr>
        <w:t xml:space="preserve">(муниципальных) бюджетных и автономных учреждений», действующими федер</w:t>
      </w:r>
      <w:r>
        <w:rPr>
          <w:sz w:val="28"/>
          <w:szCs w:val="28"/>
          <w:highlight w:val="white"/>
        </w:rPr>
        <w:t xml:space="preserve">альными стандартами.</w:t>
      </w:r>
      <w:r/>
    </w:p>
    <w:p>
      <w:pPr>
        <w:ind w:firstLine="709"/>
        <w:jc w:val="both"/>
        <w:rPr>
          <w:spacing w:val="-6"/>
          <w:sz w:val="28"/>
          <w:szCs w:val="28"/>
          <w:highlight w:val="white"/>
        </w:rPr>
      </w:pPr>
      <w:r>
        <w:rPr>
          <w:spacing w:val="-6"/>
          <w:sz w:val="28"/>
          <w:szCs w:val="28"/>
          <w:highlight w:val="white"/>
        </w:rPr>
        <w:t xml:space="preserve">В целях повышения эффективности расходования бюджетных средств субъектами бюджетной отчетности приняты распорядительные документы по применению энергосберегающей технологии (установка счетчиков воды и тепла), установлению лимитов на ус</w:t>
      </w:r>
      <w:r>
        <w:rPr>
          <w:spacing w:val="-6"/>
          <w:sz w:val="28"/>
          <w:szCs w:val="28"/>
          <w:highlight w:val="white"/>
        </w:rPr>
        <w:t xml:space="preserve">луги сотовой связи, введению нормативов при обеспечении канцелярскими принадлежностями и основными средствами, осуществлению контроля за ведением междугородных переговоров сотрудников и т.д.</w:t>
      </w:r>
      <w:r/>
    </w:p>
    <w:p>
      <w:pPr>
        <w:ind w:firstLine="709"/>
        <w:jc w:val="both"/>
        <w:rPr>
          <w:spacing w:val="-6"/>
          <w:sz w:val="12"/>
          <w:szCs w:val="12"/>
          <w:highlight w:val="yellow"/>
        </w:rPr>
      </w:pPr>
      <w:r>
        <w:rPr>
          <w:spacing w:val="-6"/>
          <w:sz w:val="12"/>
          <w:szCs w:val="12"/>
          <w:highlight w:val="yellow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Раздел 3 «Анализ отчета об исполнении бюджета субъектом бюджетно</w:t>
      </w:r>
      <w:r>
        <w:rPr>
          <w:b/>
          <w:sz w:val="28"/>
          <w:szCs w:val="28"/>
          <w:highlight w:val="white"/>
        </w:rPr>
        <w:t xml:space="preserve">й отчетности» </w:t>
      </w:r>
      <w:r/>
    </w:p>
    <w:p>
      <w:pPr>
        <w:ind w:firstLine="720"/>
        <w:jc w:val="both"/>
        <w:rPr>
          <w:sz w:val="28"/>
          <w:szCs w:val="28"/>
          <w:highlight w:val="yellow"/>
        </w:rPr>
      </w:pPr>
      <w:r/>
      <w:bookmarkStart w:id="0" w:name="OLE_LINK3"/>
      <w:r/>
      <w:r/>
    </w:p>
    <w:p>
      <w:pPr>
        <w:ind w:firstLine="720"/>
        <w:jc w:val="both"/>
        <w:spacing w:lineRule="atLeast" w:line="283"/>
        <w:rPr>
          <w:rFonts w:ascii="Times New Roman" w:hAnsi="Times New Roman" w:cs="Times New Roman" w:eastAsia="Times New Roman"/>
          <w:highlight w:val="white"/>
        </w:rPr>
      </w:pPr>
      <w:r>
        <w:rPr>
          <w:rFonts w:ascii="Times New Roman" w:hAnsi="Times New Roman" w:cs="Times New Roman" w:eastAsia="Times New Roman"/>
          <w:sz w:val="28"/>
          <w:szCs w:val="28"/>
          <w:highlight w:val="white"/>
        </w:rPr>
        <w:t xml:space="preserve">По итогам 2021 года объем налоговых и неналоговых доходов консолидированного бюджета области (без учета Территориального фонда обя</w:t>
      </w:r>
      <w:r>
        <w:rPr>
          <w:rFonts w:ascii="Times New Roman" w:hAnsi="Times New Roman" w:cs="Times New Roman" w:eastAsia="Times New Roman"/>
          <w:sz w:val="28"/>
          <w:szCs w:val="28"/>
          <w:highlight w:val="white"/>
        </w:rPr>
        <w:t xml:space="preserve">зательного медицинского страхования Саратовской области (далее – ТФОМС) составил 109352493,6 тыс. рублей и относительно 2020 года увеличился на 23427731,1 тыс. рублей, или на 21,4%. Налоговые доходы увеличились на 21,34 %, неналоговые доходы – на 23,1 %.</w:t>
      </w:r>
      <w:r>
        <w:rPr>
          <w:rFonts w:ascii="Times New Roman" w:hAnsi="Times New Roman" w:cs="Times New Roman" w:eastAsia="Times New Roman"/>
          <w:highlight w:val="white"/>
        </w:rPr>
      </w:r>
      <w:r/>
    </w:p>
    <w:p>
      <w:pPr>
        <w:ind w:firstLine="720"/>
        <w:jc w:val="both"/>
        <w:spacing w:lineRule="atLeast" w:line="283"/>
        <w:rPr>
          <w:rFonts w:ascii="Times New Roman" w:hAnsi="Times New Roman" w:cs="Times New Roman" w:eastAsia="Times New Roman"/>
          <w:highlight w:val="white"/>
        </w:rPr>
      </w:pPr>
      <w:r>
        <w:rPr>
          <w:rFonts w:ascii="Times New Roman" w:hAnsi="Times New Roman" w:cs="Times New Roman" w:eastAsia="Times New Roman"/>
          <w:sz w:val="28"/>
          <w:szCs w:val="28"/>
          <w:highlight w:val="white"/>
        </w:rPr>
        <w:t xml:space="preserve">Уточненные плановые назначения консолидированного бюджета исполнены на 102%.</w:t>
      </w:r>
      <w:r>
        <w:rPr>
          <w:rFonts w:ascii="Times New Roman" w:hAnsi="Times New Roman" w:cs="Times New Roman" w:eastAsia="Times New Roman"/>
          <w:highlight w:val="white"/>
        </w:rPr>
      </w:r>
      <w:r/>
    </w:p>
    <w:p>
      <w:pPr>
        <w:contextualSpacing w:val="true"/>
        <w:ind w:firstLine="709"/>
        <w:jc w:val="both"/>
        <w:spacing w:lineRule="atLeast" w:line="283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В структуре поступлений 29577514,8 тыс. рублей или 27,1% приходится на налог на прибыль организаций. По сравнению с 2020 годом его объем вырос на 12001411,1 тыс. рублей или на 68,3%.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spacing w:lineRule="atLeast" w:line="283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Организациями, не входящими в консолидированные группы налогоплательщиков, обеспечен прирост налога в сумме 10365355,2 тыс. рублей или 77,1%.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Более половины прироста доходов по налогу на прибыль (или 67,6%) обеспечен крупными предприятиями (ПАО «Газпром», АО «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Металлургический завод Балаково», ПАО «Саратовский нефтеперерабатывающий завод», АО «Апатит», ПАО «Сбербанк России», ПАО НК «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РуссНефть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», АО «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Саратовстройстекло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z w:val="28"/>
          <w:szCs w:val="28"/>
        </w:rPr>
        <w:t xml:space="preserve">ООО «ЮКОЛА-нефть», П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АО НК «ЛУКОЙЛ», ПАО «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Совкомбанк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»).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При этом, </w:t>
      </w:r>
      <w:r>
        <w:rPr>
          <w:rFonts w:ascii="Times New Roman" w:hAnsi="Times New Roman" w:cs="Times New Roman" w:eastAsia="Times New Roman"/>
          <w:color w:val="000000"/>
          <w:sz w:val="28"/>
          <w:szCs w:val="28"/>
        </w:rPr>
        <w:t xml:space="preserve">АО «Атомный энергопромышленн</w:t>
      </w:r>
      <w:r>
        <w:rPr>
          <w:rFonts w:ascii="Times New Roman" w:hAnsi="Times New Roman" w:cs="Times New Roman" w:eastAsia="Times New Roman"/>
          <w:color w:val="000000"/>
          <w:sz w:val="28"/>
          <w:szCs w:val="28"/>
        </w:rPr>
        <w:t xml:space="preserve">ый комплекс»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сократило платежи по налогу на прибыль на 937108,6 тыс рублей (или на 33,0%), Филиал ПАО «ФГК – «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Русгидро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» – «Саратовская ГЭС» – на 281894,2 тыс. рублей (или на 28,0%).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По видам экономической деятельности поступление налога на прибыль возросло по ор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ганизациям обрабатывающих отраслей в 2,9 раза, оптовой и розничной торговли в 2,3 раза, транспортировки и хранения на 40,8%, строительства на 28,9%.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В сравнении с 2020 годом на 8,9% выросло поступление налога на доходы физических лиц и составило 39320188,8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тыс. рублей.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За счет предоставления имущественных и социальных вычетов возвращено 3925225,3 тыс. рублей налога на доходы физических лиц, это 9,1% от объема фактического поступления. По сравнению с 2020 годом объем возвращенных сумм вырос на 13,9% или на 470092,2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тыс.рублей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Акцизы исполнены в сумме 13390205,0 тыс. рублей с ростом к показателям 2020 года на 43,9%. В том числе акцизы на нефтепродукты составили 11408893,4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тыс. рублей, что на 3976316,7 тыс. рублей или на 53,5% выше уровня достигнутого в 2020 году. Акцизы на алког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ольную продукцию увеличились на 110087,5 тыс. рублей и составили 1981311,6 тыс. рублей.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По налогу на имущество организаций поступило 7963177,1 тыс. рублей с ростом к 2020 году на 460849,4 тыс. рублей (на 6,1%).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По налогу, взимаемому в связи с применением упрощенной си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стемы налогообложения, поступило 6554910,0 тыс. рублей с ростом на 1978104,4 тыс. рублей (или на 43,2%).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Транспортный налог поступил в объеме 2796029,0 тыс. рублей, что на 44675,4 тыс. рублей (или на 1,6%) больше, чем за 2020 год.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  <w:highlight w:val="yellow"/>
        </w:rPr>
      </w:pP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Исполнение местных налогов сложилось в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 2021 году разнонаправлено: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налог на имущество физических лиц поступил в объеме 976521,4 тыс. рублей, что на 45204,4 тыс. рублей (или на 4,9%) превышает показатели 2020 года.</w:t>
      </w:r>
      <w:r>
        <w:rPr>
          <w:rFonts w:ascii="Times New Roman" w:hAnsi="Times New Roman" w:cs="Times New Roman" w:eastAsia="Times New Roman"/>
          <w:highlight w:val="yellow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С учетом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изменения кадастровой стоимости земельных участков поступления земельного налога снижены на 81088,3 тыс. рублей (или на 5,8%) и составили 1323707,8 тыс. рублей.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Поступление налога на добычу полезных ископаемых в 2021 году возросло против уровня 2020 года на 10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809,5 тыс. рублей, или на 16,7%.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Объем неналоговых доходов консолидированного бюджета составил за 2021 год 4934592,2 тыс. рублей, с ростом к факту за 2020 год на 1262583,5 тыс. рублей, или на 34,4%.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С положительной динамикой к 2020 году сложилось поступление доходов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 от продажи материальных и нематериальных активов, которые увеличились на 247437,2 тыс. рублей, на 50,1%.</w:t>
      </w:r>
      <w:r>
        <w:rPr>
          <w:rFonts w:ascii="Times New Roman" w:hAnsi="Times New Roman" w:cs="Times New Roman" w:eastAsia="Times New Roman"/>
        </w:rPr>
      </w:r>
      <w:r/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Поступление доходов от использования государственного и муниципального имущества выросло на 33,9%, в том числе доходы от сдачи в аренду земельных участко</w:t>
      </w:r>
      <w:r>
        <w:rPr>
          <w:rFonts w:ascii="Times New Roman" w:hAnsi="Times New Roman" w:cs="Times New Roman" w:eastAsia="Times New Roman"/>
          <w:spacing w:val="-6"/>
          <w:sz w:val="28"/>
          <w:szCs w:val="28"/>
        </w:rPr>
        <w:t xml:space="preserve">в выросли на 10,7%, доходы от сдачи в аренду имущества увеличились на 6,5%, д</w:t>
      </w:r>
      <w:r>
        <w:rPr>
          <w:rFonts w:ascii="Times New Roman" w:hAnsi="Times New Roman" w:cs="Times New Roman" w:eastAsia="Times New Roman" w:eastAsiaTheme="minorHAnsi"/>
          <w:sz w:val="28"/>
          <w:szCs w:val="28"/>
          <w:lang w:eastAsia="en-US"/>
        </w:rPr>
        <w:t xml:space="preserve"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 </w:t>
      </w: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снизили</w:t>
      </w: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сь на 55,0%, платежи от государственных и муниципальных унитарных предприятий – на 9,7%.</w:t>
      </w:r>
      <w:r>
        <w:rPr>
          <w:rFonts w:ascii="Times New Roman" w:hAnsi="Times New Roman" w:cs="Times New Roman" w:eastAsia="Times New Roman" w:eastAsiaTheme="minorHAnsi"/>
        </w:rPr>
      </w:r>
      <w:r>
        <w:rPr>
          <w:rFonts w:eastAsiaTheme="minorHAnsi"/>
        </w:rPr>
      </w:r>
    </w:p>
    <w:p>
      <w:pPr>
        <w:contextualSpacing w:val="true"/>
        <w:ind w:firstLine="709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Поступление платежей при пользовании природными ресурсами выросли в целом по данной подгруппе неналоговых доходов – на 22,9%. В том числе доходы от платы за негативное</w:t>
      </w: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 воздействие на окружающую среду увеличились на 20,1%, платежи при пользовании недрами – на 40,5% и платы за использование лесов, на 48,8%.</w:t>
      </w:r>
      <w:r>
        <w:rPr>
          <w:rFonts w:ascii="Times New Roman" w:hAnsi="Times New Roman" w:cs="Times New Roman" w:eastAsia="Times New Roman" w:eastAsiaTheme="minorHAnsi"/>
        </w:rPr>
      </w:r>
      <w:r>
        <w:rPr>
          <w:rFonts w:eastAsiaTheme="minorHAnsi"/>
        </w:rPr>
      </w:r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Штрафы, санкции, возмещение ущерба выросли на 110023,4 тыс рублей, на 10,3%. </w:t>
      </w:r>
      <w:r>
        <w:rPr>
          <w:rFonts w:ascii="Times New Roman" w:hAnsi="Times New Roman" w:cs="Times New Roman" w:eastAsia="Times New Roman" w:eastAsiaTheme="minorHAnsi"/>
        </w:rPr>
      </w:r>
      <w:r>
        <w:rPr>
          <w:rFonts w:eastAsiaTheme="minorHAnsi"/>
        </w:rPr>
      </w:r>
    </w:p>
    <w:p>
      <w:pPr>
        <w:contextualSpacing w:val="true"/>
        <w:ind w:firstLine="737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Поступление доходов от оказания платных у</w:t>
      </w:r>
      <w:r>
        <w:rPr>
          <w:rFonts w:ascii="Times New Roman" w:hAnsi="Times New Roman" w:cs="Times New Roman" w:eastAsia="Times New Roman" w:eastAsiaTheme="minorHAnsi"/>
          <w:spacing w:val="-6"/>
          <w:sz w:val="28"/>
          <w:szCs w:val="28"/>
        </w:rPr>
        <w:t xml:space="preserve">слуг и компенсациям затрат государства составило в 2021 году 988126,6 тыс. рублей, относительно факта 2020 года выросли на 66,1%.</w:t>
      </w:r>
      <w:r>
        <w:rPr>
          <w:rFonts w:ascii="Times New Roman" w:hAnsi="Times New Roman" w:cs="Times New Roman" w:eastAsia="Times New Roman"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Безвозмездные поступления за 2021 год сложились в сумме </w:t>
      </w:r>
      <w:r>
        <w:rPr>
          <w:rFonts w:eastAsiaTheme="minorHAnsi"/>
          <w:sz w:val="28"/>
          <w:szCs w:val="28"/>
          <w:highlight w:val="white"/>
        </w:rPr>
        <w:br/>
        <w:t xml:space="preserve">59021140,4 тыс. рублей с уменьшением к уровню 2020 года на 1494863,8 тыс</w:t>
      </w:r>
      <w:r>
        <w:rPr>
          <w:rFonts w:eastAsiaTheme="minorHAnsi"/>
          <w:sz w:val="28"/>
          <w:szCs w:val="28"/>
          <w:highlight w:val="white"/>
        </w:rPr>
        <w:t xml:space="preserve">. рублей или на 2,48%. 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Из федерального бюджета поступило 55070358,11 тыс. рублей, бюджета </w:t>
      </w:r>
      <w:r>
        <w:rPr>
          <w:rFonts w:eastAsiaTheme="minorHAnsi"/>
          <w:sz w:val="28"/>
          <w:szCs w:val="28"/>
          <w:highlight w:val="white"/>
        </w:rPr>
        <w:br/>
        <w:t xml:space="preserve">г. Москвы – 1213852,05 тыс. рублей, бюджета Пенсионного фонда Российской Федерации – 244,01 тыс. рублей, Государственной корпорации – Фонда </w:t>
      </w:r>
      <w:r>
        <w:rPr>
          <w:rFonts w:eastAsiaTheme="minorHAnsi"/>
          <w:sz w:val="28"/>
          <w:szCs w:val="28"/>
          <w:highlight w:val="white"/>
        </w:rPr>
        <w:t xml:space="preserve">содействия реформировани</w:t>
      </w:r>
      <w:r>
        <w:rPr>
          <w:rFonts w:eastAsiaTheme="minorHAnsi"/>
          <w:sz w:val="28"/>
          <w:szCs w:val="28"/>
          <w:highlight w:val="white"/>
        </w:rPr>
        <w:t xml:space="preserve">ю жилищно-коммунального хозяйства – 2578521,56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Доходы консолидированного бюд</w:t>
      </w:r>
      <w:r>
        <w:rPr>
          <w:rFonts w:eastAsiaTheme="minorHAnsi"/>
          <w:sz w:val="28"/>
          <w:szCs w:val="28"/>
          <w:highlight w:val="white"/>
        </w:rPr>
        <w:t xml:space="preserve">жета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составили 280763,4 тыс. рублей. Возврат остатков субсидий, субвенций и иных межбюджетных</w:t>
      </w:r>
      <w:r>
        <w:rPr>
          <w:rFonts w:eastAsiaTheme="minorHAnsi"/>
          <w:sz w:val="28"/>
          <w:szCs w:val="28"/>
          <w:highlight w:val="white"/>
        </w:rPr>
        <w:t xml:space="preserve"> трансфертов, имеющих целевое назначение, прошлых лет составил 172200,6 тыс. рублей. Безвозмездные поступления от негосударственных организаций и прочие безвозмездные поступления в консолидированный бюджет области составили в 2021 году 49601,9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Расходы консолидированного бюджета Саратовской области (без ТФОМС) исполнены в объеме 164985867,2 тыс. рублей или 95,16% годовых назначений, с ростом против 2020 года на 15072757,97 тыс. рублей или на 9,14%. 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Анализ исполнения консолидированного бюджета о</w:t>
      </w:r>
      <w:r>
        <w:rPr>
          <w:rFonts w:eastAsiaTheme="minorHAnsi"/>
          <w:sz w:val="28"/>
          <w:szCs w:val="28"/>
          <w:highlight w:val="white"/>
        </w:rPr>
        <w:t xml:space="preserve">бласти по разделам и подразделам бюджетной классификации Российской Федерации представлен в следующей таблице:</w:t>
      </w:r>
      <w:r>
        <w:rPr>
          <w:rFonts w:eastAsiaTheme="minorHAnsi"/>
        </w:rPr>
      </w:r>
      <w:r>
        <w:rPr>
          <w:rFonts w:eastAsiaTheme="minorHAnsi"/>
        </w:rPr>
      </w:r>
    </w:p>
    <w:tbl>
      <w:tblPr>
        <w:tblStyle w:val="887"/>
        <w:tblW w:w="0" w:type="auto"/>
        <w:tblInd w:w="-227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512"/>
        <w:gridCol w:w="1413"/>
        <w:gridCol w:w="992"/>
        <w:gridCol w:w="1447"/>
      </w:tblGrid>
      <w:tr>
        <w:trPr>
          <w:trHeight w:val="589"/>
        </w:trPr>
        <w:tc>
          <w:tcPr>
            <w:gridSpan w:val="6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4" w:type="dxa"/>
            <w:textDirection w:val="lrTb"/>
            <w:noWrap w:val="false"/>
          </w:tcPr>
          <w:p>
            <w:pPr>
              <w:ind w:firstLine="700"/>
              <w:jc w:val="right"/>
              <w:rPr>
                <w:sz w:val="22"/>
                <w:szCs w:val="22"/>
                <w:highlight w:val="cyan"/>
              </w:rPr>
            </w:pPr>
            <w:r>
              <w:rPr>
                <w:rFonts w:eastAsiaTheme="minorHAnsi"/>
                <w:sz w:val="22"/>
                <w:szCs w:val="22"/>
                <w:highlight w:val="cyan"/>
              </w:rPr>
              <w:t xml:space="preserve"> </w: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p>
            <w:pPr>
              <w:jc w:val="right"/>
            </w:pPr>
            <w:r>
              <w:rPr>
                <w:rFonts w:eastAsiaTheme="minorHAnsi"/>
              </w:rPr>
              <w:t xml:space="preserve">  (</w:t>
            </w:r>
            <w:r>
              <w:rPr>
                <w:rFonts w:eastAsiaTheme="minorHAnsi"/>
              </w:rPr>
              <w:t xml:space="preserve">тыс.рублей</w:t>
            </w:r>
            <w:r>
              <w:rPr>
                <w:rFonts w:eastAsiaTheme="minorHAnsi"/>
              </w:rPr>
              <w:t xml:space="preserve">)</w: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Merge w:val="restart"/>
            <w:textDirection w:val="lrTb"/>
            <w:noWrap w:val="false"/>
          </w:tcPr>
          <w:p>
            <w:r>
              <w:t xml:space="preserve">Наименование показателя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2020 год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64" w:type="dxa"/>
            <w:textDirection w:val="lrTb"/>
            <w:noWrap w:val="false"/>
          </w:tcPr>
          <w:p>
            <w:pPr>
              <w:jc w:val="center"/>
            </w:pPr>
            <w:r>
              <w:t xml:space="preserve">2021 год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факт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уточненные бюджетные назначения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факт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% исполнения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% к 2020 году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Расходы - всего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149 913 109,2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173 384 286,8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164 985 867,2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95,2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110,1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7 929 361,0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9 449 057,6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8 716 148,9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92,2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109,9</w:t>
            </w:r>
            <w:r/>
          </w:p>
        </w:tc>
      </w:tr>
      <w:tr>
        <w:trPr>
          <w:trHeight w:val="12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218 718,5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456 114,3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439 780,6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96,4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в 2 раза</w:t>
            </w:r>
            <w:r/>
          </w:p>
        </w:tc>
      </w:tr>
      <w:tr>
        <w:trPr>
          <w:trHeight w:val="15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392 005,9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440 757,5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424 678,0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96,4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108,3</w:t>
            </w:r>
            <w:r/>
          </w:p>
        </w:tc>
      </w:tr>
      <w:tr>
        <w:trPr>
          <w:trHeight w:val="15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t xml:space="preserve">2 433 441,9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jc w:val="center"/>
            </w:pPr>
            <w:r>
              <w:t xml:space="preserve">2 807 261,9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jc w:val="center"/>
            </w:pPr>
            <w:r>
              <w:t xml:space="preserve">2 672 255,9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95,2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jc w:val="center"/>
            </w:pPr>
            <w:r>
              <w:t xml:space="preserve">109,8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388 172,3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468 549,4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465 858,4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</w:t>
            </w:r>
            <w:r>
              <w:t xml:space="preserve">9,4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120,0</w:t>
            </w:r>
            <w:r/>
          </w:p>
        </w:tc>
      </w:tr>
      <w:tr>
        <w:trPr>
          <w:trHeight w:val="12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695 165,2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817 828,9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797 974,5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114,8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298 410,6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245 318,8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242 649,9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81,3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259 728,8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Прикладные научные исследования в области общегосударственных вопросов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197,3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196,1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196,1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99,4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3 503 249,3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3 953 301,9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3 672 755,5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92,9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104,8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52 079,7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53 349,4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53 201,5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102,2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50 528,5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51 627,0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51 492,6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101,9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Мобилизационная подготовка экономики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1 551,2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1 722,4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1 708,9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110,2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737 367,8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832 166,4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821 884,5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111,5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Органы юстиции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193 864,4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138 837,8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138 546,6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71,5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Гражданская оборона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58 100,3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56 042,8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12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Защита населения и территории от последствий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405 397,0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624 398,6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616 698,2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1,5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Обеспечение пожарной безопасности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126 760,6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Миграционная политика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9 842,3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9 000,0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9 000,0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91,4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1 503,5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1 829,7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1 596,9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87,3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106,2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22 972 318,3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29 502 489,3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28 308 626,3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123,2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Общеэкономические вопросы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382 773,7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374 011,6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370 176,5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96,7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Топливно-энергетический комплекс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86 892,7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154 542,8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81 584,8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52,8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93,9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2 667 177,0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3 011 934,2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3 008 921,0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112,8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864 275,3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512 632,7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508 207,7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58,8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Лесное хозяйство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320 862,1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278 947,9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278 742,1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86,9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1 550 120,6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1 526 062,3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1 512 433,5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97,6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Дорожное хозяйство </w:t>
            </w:r>
            <w:r>
              <w:t xml:space="preserve">(дорожные фонды)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16 260 762,5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21 806 947,4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20 726 612,9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95,0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127,5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Связь и информатика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58 785,3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75 117,1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74 643,8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127,0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Прикладные научные исследования в области национальной экономики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5 025,0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180,0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775 644,1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1 762 093,3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1 747 124,0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2,3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8 378 050,3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11 733 122,5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10 926 963,8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93,1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130,4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3 027 445,5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4 368 433,6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4 140 410,5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94,8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136,8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800 483,6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1 738 907,0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1 510 346,9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86,9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1,9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Благоустройство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3 630 538,6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4 467 996,3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4 181 212,7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93,6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115,2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Прикладные научные исследования в области жилищно-коммунального хозяйства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11 000,0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11 000,0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919 582,6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1 146 785,6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1 083 993,7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94,5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117,9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191 388,4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138 967,4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138 495,8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72,4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Сбор, удаление отходов и очистка сточных 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23 655,1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34 134,0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34 078,7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144,1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17 067,6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43 359,6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43 359,6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2,5 раза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Прикладные научные исследования в области охраны окружающей среды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235,0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235,0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охраны окружающей среды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150 665,7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61 238,8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60 822,5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40,4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36 455 232,0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42 505 409,5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41 559 886,9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114,0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9 064 511,0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10 612 279,5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10 356 459,7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114,3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20 154 104,9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23 449 314,3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22 909 835,7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113,7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2 486 791,0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2 802 886,9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2 725 822,6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109,6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Среднее профессиональное образование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3 021 711,2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3 268 823,1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3 264 679,2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108,0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249 257,1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250 078,7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247 848,8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99,4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371 947,7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860 921,5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847 999,5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2,3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1 106 909,1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1 261 105,5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1 207 241,4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95,7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109,1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5 007 808,4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6 584 952,5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6 013 752,0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91,3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120,1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4 386 885,5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5 694 599,5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5 157 082,3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90,6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117,6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культуры, кинематографии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620 922,9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890 353,0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856 669,7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138,0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Здравоохранение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20 836 384,6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23 199 183,9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20 900 712,9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100,3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Стационарная медицинская помощь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13 114 104,4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12 823 798,6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11 001 752,3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85,8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83,9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Амбулаторная помощь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2 641 821,8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1 782 519,7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1 496 538,9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84,0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56,6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Скорая медицинская помощь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618 025,1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583 758,0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563 107,6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91,1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Санаторно-оздоровительная помощь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91 750,7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95 213,0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95 213,0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103,8</w:t>
            </w:r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Заготовка, переработка, хранение и обеспечение безопасности донорской крови и её компонентов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197 522,1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208 456,8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203 684,9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103,1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Санитарно-эпидемиологическое благополучие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7 824,0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7 557,5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7 557,5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96,6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здравоохранения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4 165 336,5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7 697 880,3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7 532 858,7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1,8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41 575 588,7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43 968 021,0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42 568 095,8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102,4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304 397,2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394 158,8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383 486,1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97,3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126,0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6 787 866,4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6 444 194,7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6 431 573,6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94,8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21 112 505,5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20 011 651,6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19 875 211,7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94,1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12 070 122,1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15 688 490,4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14 458 594,3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92,2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119,8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1 300 697,5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1 429 525,5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1 419 230,1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109,1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3 423 690,3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3 515 740,5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3 096 221,3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88,1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90,4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Физическая культура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1 027 091,0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1 229 529,3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1 205 262,0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117,3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1 785 287,8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1 478 974,0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1 085 469,6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73,4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60,8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523 415,7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669 190,2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669 183,5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127,8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физической культуры и спорта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87 895,8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138 047,0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136 306,2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в 1,6 раза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Средства массовой информации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140 574,5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158 855,6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156 234,0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98,3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111,1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Телевидение и радиовещание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31 582,0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32 889,4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32 889,3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104,1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Периодическая печать и издательства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62 583,9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70 844,3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68 307,8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96,4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109,1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Другие вопросы в области средств массовой информации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46 408,6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55 121,9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55 036,9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118,6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2 213 265,2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1 742 689,2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1 725 643,5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78,0</w:t>
            </w:r>
            <w:r/>
          </w:p>
        </w:tc>
      </w:tr>
      <w:tr>
        <w:trPr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>
              <w:t xml:space="preserve">2 213 265,2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1 742 689,2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>
              <w:t xml:space="preserve">1 725 643,5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>
              <w:t xml:space="preserve">99,0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>
              <w:t xml:space="preserve">78,0</w:t>
            </w:r>
            <w:r/>
          </w:p>
        </w:tc>
      </w:tr>
      <w:tr>
        <w:trPr>
          <w:trHeight w:val="12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282,0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  <w:tr>
        <w:trPr>
          <w:trHeight w:val="9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r>
              <w:t xml:space="preserve">282,0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highlight w:val="yellow"/>
        </w:rPr>
      </w:pPr>
      <w:r>
        <w:rPr>
          <w:rFonts w:eastAsiaTheme="minorHAnsi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Исполнение по обязательствам, финансовое обеспечение которых осуществлялось за счет субсидий, субвенций, целевых дотаций и иных межбюджетных трансфертов из федерального бюджета (далее – целевые федеральные средства), сложилось в сумме 38818340,1 тыс. рубле</w:t>
      </w:r>
      <w:r>
        <w:rPr>
          <w:rFonts w:eastAsiaTheme="minorHAnsi"/>
          <w:sz w:val="28"/>
          <w:szCs w:val="28"/>
          <w:highlight w:val="white"/>
        </w:rPr>
        <w:t xml:space="preserve">й или 99,9% от фактически поступивших средств и неиспользованных на 1 января 2021 года остатков целевых федеральных средств, разрешенных к использованию в 2021 году на те же цели.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 состоянию на 1 января 2022 года неиспользованные остатки целевых федераль</w:t>
      </w:r>
      <w:r>
        <w:rPr>
          <w:rFonts w:eastAsiaTheme="minorHAnsi"/>
          <w:sz w:val="28"/>
          <w:szCs w:val="28"/>
          <w:highlight w:val="white"/>
        </w:rPr>
        <w:t xml:space="preserve">ных средств составили 4530,3 тыс. рублей, которые подлежат обязательному возврату в федеральный бюджет. 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По состоянию на 1 января 2022 года размер государственного долга области составил в сумме 55004231,4 тыс. рублей, совокупного муниципального долга – 11</w:t>
      </w:r>
      <w:r>
        <w:rPr>
          <w:rFonts w:eastAsiaTheme="minorHAnsi"/>
          <w:sz w:val="28"/>
          <w:szCs w:val="28"/>
        </w:rPr>
        <w:t xml:space="preserve">058719,8 тыс. рублей. Объем государственного долга области увеличился с начала 2021 года на 3383398,8 тыс. рублей и составил 63,7% к фактическому поступлению налоговых и неналоговых доходов областного бюджета за 2021 год. Объем муниципального долга увеличи</w:t>
      </w:r>
      <w:r>
        <w:rPr>
          <w:rFonts w:eastAsiaTheme="minorHAnsi"/>
          <w:sz w:val="28"/>
          <w:szCs w:val="28"/>
        </w:rPr>
        <w:t xml:space="preserve">лся на  797440,6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Расходы на обслуживание государственного и муниципального долга составили за 2021 год 1257632,7 тыс. рублей и 471138,2 тыс. рублей соответственно.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Привлечение и погашение кредитов от кредитных организаций составило за 2021 год</w:t>
      </w:r>
      <w:r>
        <w:rPr>
          <w:rFonts w:eastAsiaTheme="minorHAnsi"/>
          <w:sz w:val="28"/>
          <w:szCs w:val="28"/>
        </w:rPr>
        <w:t xml:space="preserve"> – 24651940,6 тыс. рублей и 35323615,8 тыс. рублей соответственно (в том числе местными бюджетами 5327000,0 тыс. рублей и 10153499,7 тыс. рублей соответственно).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pacing w:val="-6"/>
          <w:sz w:val="28"/>
          <w:szCs w:val="28"/>
        </w:rPr>
        <w:t xml:space="preserve">Привлечение и погашение Саратовской областью бюджетных кредитов на пополнение остатка средств </w:t>
      </w:r>
      <w:r>
        <w:rPr>
          <w:rFonts w:eastAsiaTheme="minorHAnsi"/>
          <w:spacing w:val="-6"/>
          <w:sz w:val="28"/>
          <w:szCs w:val="28"/>
        </w:rPr>
        <w:t xml:space="preserve">на едином счете бюджета из УФК по Саратовской области в 2021 году не осуществлялось.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pacing w:val="-6"/>
          <w:sz w:val="28"/>
          <w:szCs w:val="28"/>
        </w:rPr>
        <w:t xml:space="preserve">Привлечение 2021 году</w:t>
      </w:r>
      <w:r>
        <w:rPr>
          <w:rFonts w:eastAsiaTheme="minorHAnsi"/>
        </w:rPr>
        <w:t xml:space="preserve"> </w:t>
      </w:r>
      <w:r>
        <w:rPr>
          <w:rFonts w:eastAsiaTheme="minorHAnsi"/>
          <w:spacing w:val="-6"/>
          <w:sz w:val="28"/>
          <w:szCs w:val="28"/>
        </w:rPr>
        <w:t xml:space="preserve">Саратовской областью бюджетных кредитов из федерального бюджета  составило в сумме 10734148,7 тыс. рублей, погашение - 1505574,4 </w:t>
      </w:r>
      <w:r>
        <w:rPr>
          <w:rFonts w:eastAsiaTheme="minorHAnsi"/>
          <w:sz w:val="28"/>
          <w:szCs w:val="28"/>
        </w:rPr>
        <w:t xml:space="preserve">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По сост</w:t>
      </w:r>
      <w:r>
        <w:rPr>
          <w:rFonts w:eastAsiaTheme="minorHAnsi"/>
          <w:sz w:val="28"/>
          <w:szCs w:val="28"/>
        </w:rPr>
        <w:t xml:space="preserve">оянию на 1 января 2022 года задолженность перед федеральным бюджетом по бюджетным кредитам, предоставленным Саратовской области, составила всего - 39082228,0 тыс. рублей, в том числе: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реструктурированная задолженность по бюджетным кредитам, предоставленным</w:t>
      </w:r>
      <w:r>
        <w:rPr>
          <w:rFonts w:eastAsiaTheme="minorHAnsi"/>
          <w:sz w:val="28"/>
          <w:szCs w:val="28"/>
        </w:rPr>
        <w:t xml:space="preserve"> для частичного покрытия дефицита бюджета – 21276765,5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реструктурированная задолженность по бюджетным кредитам, предоставленным на строительство, реконструкцию, капитальный ремонт, ремонт и содержание автомобильных дорог общего пользования (за</w:t>
      </w:r>
      <w:r>
        <w:rPr>
          <w:rFonts w:eastAsiaTheme="minorHAnsi"/>
          <w:sz w:val="28"/>
          <w:szCs w:val="28"/>
        </w:rPr>
        <w:t xml:space="preserve"> исключением автомобильных дорог федерального значения) – 2245313,8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реструктурированная задолженность по бюджетному кредиту, предоставленному для погашения бюджетных кредитов на пополнение остатков средств на счетах бюджетов субъектов Российск</w:t>
      </w:r>
      <w:r>
        <w:rPr>
          <w:rFonts w:eastAsiaTheme="minorHAnsi"/>
          <w:sz w:val="28"/>
          <w:szCs w:val="28"/>
        </w:rPr>
        <w:t xml:space="preserve">ой Федерации – 4826000,0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задолженность по бюджетным кредитам, предоставленным в целях погашения долговых обязательств по рыночным заимствованиям области и муниципальных образований – 10734148,7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В 2021 году муниципальным образовани</w:t>
      </w:r>
      <w:r>
        <w:rPr>
          <w:rFonts w:eastAsiaTheme="minorHAnsi"/>
          <w:sz w:val="28"/>
          <w:szCs w:val="28"/>
        </w:rPr>
        <w:t xml:space="preserve">ям области предоставлены бюджетные кредиты для покрытия временных кассовых разрывов в общей сумме 431,9 млн рублей. Муниципальными образованиями осуществлен возврат бюджетных кредитов, предоставленных для частичного покрытия дефицитов бюджетов, в общей сум</w:t>
      </w:r>
      <w:r>
        <w:rPr>
          <w:rFonts w:eastAsiaTheme="minorHAnsi"/>
          <w:sz w:val="28"/>
          <w:szCs w:val="28"/>
        </w:rPr>
        <w:t xml:space="preserve">ме 428,9 млн рублей и для покрытия временных кассовых разрывов в общей сумме 431,9 млн рублей. Просроченных долговых обязательств муниципальных образований перед областным бюджетом не имеется.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</w:rPr>
        <w:t xml:space="preserve">Параметры государственного долга области и расходов на его обсл</w:t>
      </w:r>
      <w:r>
        <w:rPr>
          <w:rFonts w:eastAsiaTheme="minorHAnsi"/>
          <w:sz w:val="28"/>
          <w:szCs w:val="28"/>
        </w:rPr>
        <w:t xml:space="preserve">уживание за 2021 год соответствуют ограничениям, установленным Бюджетным кодексом Российской Федерации.</w:t>
      </w:r>
      <w:bookmarkEnd w:id="0"/>
      <w:r>
        <w:rPr>
          <w:rFonts w:eastAsiaTheme="minorHAnsi"/>
        </w:rPr>
      </w:r>
      <w:r>
        <w:rPr>
          <w:rFonts w:eastAsiaTheme="minorHAnsi"/>
        </w:rPr>
      </w:r>
    </w:p>
    <w:p>
      <w:pPr>
        <w:rPr>
          <w:highlight w:val="yellow"/>
        </w:rPr>
      </w:pPr>
      <w:r>
        <w:rPr>
          <w:rFonts w:eastAsiaTheme="minorHAnsi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sz w:val="12"/>
          <w:szCs w:val="12"/>
          <w:highlight w:val="yellow"/>
        </w:rPr>
      </w:pPr>
      <w:r>
        <w:rPr>
          <w:rFonts w:eastAsiaTheme="minorHAnsi"/>
          <w:sz w:val="12"/>
          <w:szCs w:val="12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jc w:val="center"/>
        <w:rPr>
          <w:b/>
          <w:sz w:val="28"/>
          <w:szCs w:val="28"/>
          <w:highlight w:val="whit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4 «Анализ показателей бухгалтерской отчетности субъекта бюджетной отчетности»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За 2021 год из федерального бюджета в государственную собственнос</w:t>
      </w:r>
      <w:r>
        <w:rPr>
          <w:rFonts w:eastAsiaTheme="minorHAnsi"/>
          <w:sz w:val="28"/>
          <w:szCs w:val="28"/>
          <w:highlight w:val="white"/>
        </w:rPr>
        <w:t xml:space="preserve">ть Саратовской области и муниципальную собственность было передано и поставлено на учет имущество в сумме 2687122,6 тыс. рублей, из бюджетов других субъектов Российской Федерации – 18783, тыс. рублей, передано из государственной собственности области и мун</w:t>
      </w:r>
      <w:r>
        <w:rPr>
          <w:rFonts w:eastAsiaTheme="minorHAnsi"/>
          <w:sz w:val="28"/>
          <w:szCs w:val="28"/>
          <w:highlight w:val="white"/>
        </w:rPr>
        <w:t xml:space="preserve">иципальной в федеральную собственность имущество в сумме 1419910,3 тыс. рублей, в собственность других субъектов - 28853,7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о движении нефинансовых активов представлены в приложении по форме 0503368.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течение 2021 года объем</w:t>
      </w:r>
      <w:r>
        <w:rPr>
          <w:rFonts w:eastAsiaTheme="minorHAnsi"/>
          <w:sz w:val="28"/>
          <w:szCs w:val="28"/>
          <w:highlight w:val="white"/>
        </w:rPr>
        <w:t xml:space="preserve"> кредиторской задолженности по консолидированному бюджету области увеличился на 688749,5 тыс. рублей и на 1 января 2022 года составил 3525042,1 тыс. рублей (без учета операций по единому счету областного бюджета и расчетам по доходам).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highlight w:val="white"/>
        </w:rPr>
        <w:t xml:space="preserve">Просроченная кредито</w:t>
      </w:r>
      <w:r>
        <w:rPr>
          <w:rFonts w:eastAsiaTheme="minorHAnsi"/>
          <w:sz w:val="28"/>
          <w:szCs w:val="28"/>
          <w:highlight w:val="white"/>
        </w:rPr>
        <w:t xml:space="preserve">рская задолженность увеличилась на 264744,5 тыс. рублей с 705118,8 тыс. рублей на 1 января 2021 года до 969863,3 тыс. рублей на 1 января 2022 года, в том числе просроченная кредиторская задолженность более 10 млн рублей сложилась: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 сумме 16977,9 тыс. рубл</w:t>
      </w:r>
      <w:r>
        <w:rPr>
          <w:rFonts w:eastAsiaTheme="minorHAnsi"/>
          <w:sz w:val="28"/>
          <w:szCs w:val="28"/>
        </w:rPr>
        <w:t xml:space="preserve">ей задолженность по </w:t>
      </w:r>
      <w:r>
        <w:rPr>
          <w:rFonts w:eastAsiaTheme="minorHAnsi"/>
          <w:sz w:val="28"/>
          <w:szCs w:val="28"/>
        </w:rPr>
        <w:t xml:space="preserve">Балашовскому</w:t>
      </w:r>
      <w:r>
        <w:rPr>
          <w:rFonts w:eastAsiaTheme="minorHAnsi"/>
          <w:sz w:val="28"/>
          <w:szCs w:val="28"/>
        </w:rPr>
        <w:t xml:space="preserve"> муниципальному району по уплате налога на добавленную стоимость;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</w:rPr>
        <w:t xml:space="preserve">в сумме 137582,38 тыс. рублей задолженность по </w:t>
      </w:r>
      <w:r>
        <w:rPr>
          <w:rFonts w:eastAsiaTheme="minorHAnsi"/>
          <w:sz w:val="28"/>
          <w:szCs w:val="28"/>
        </w:rPr>
        <w:t xml:space="preserve">Вольскому</w:t>
      </w:r>
      <w:r>
        <w:rPr>
          <w:rFonts w:eastAsiaTheme="minorHAnsi"/>
          <w:sz w:val="28"/>
          <w:szCs w:val="28"/>
        </w:rPr>
        <w:t xml:space="preserve"> муниципальному району за поставку газа.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Увеличение просроченной кредиторской задолженности обусловлено введением режима ограничений, связанным с распространением </w:t>
      </w:r>
      <w:r>
        <w:rPr>
          <w:rFonts w:eastAsiaTheme="minorHAnsi"/>
          <w:sz w:val="28"/>
          <w:szCs w:val="28"/>
          <w:highlight w:val="white"/>
        </w:rPr>
        <w:t xml:space="preserve">коронавирусной</w:t>
      </w:r>
      <w:r>
        <w:rPr>
          <w:rFonts w:eastAsiaTheme="minorHAnsi"/>
          <w:sz w:val="28"/>
          <w:szCs w:val="28"/>
          <w:highlight w:val="white"/>
        </w:rPr>
        <w:t xml:space="preserve"> инфекции </w:t>
      </w:r>
      <w:r>
        <w:rPr>
          <w:rFonts w:eastAsiaTheme="minorHAnsi"/>
          <w:sz w:val="28"/>
          <w:szCs w:val="28"/>
          <w:highlight w:val="white"/>
          <w:lang w:val="en-US"/>
        </w:rPr>
        <w:t xml:space="preserve">COVID</w:t>
      </w:r>
      <w:r>
        <w:rPr>
          <w:rFonts w:eastAsiaTheme="minorHAnsi"/>
          <w:sz w:val="28"/>
          <w:szCs w:val="28"/>
          <w:highlight w:val="white"/>
        </w:rPr>
        <w:t xml:space="preserve">-19, и снижением налоговых и неналоговых доходов </w:t>
      </w:r>
      <w:r>
        <w:rPr>
          <w:rFonts w:eastAsiaTheme="minorHAnsi"/>
          <w:sz w:val="28"/>
          <w:szCs w:val="28"/>
          <w:highlight w:val="white"/>
        </w:rPr>
        <w:t xml:space="preserve">муниципальных</w:t>
      </w:r>
      <w:r>
        <w:rPr>
          <w:rFonts w:eastAsiaTheme="minorHAnsi"/>
          <w:sz w:val="28"/>
          <w:szCs w:val="28"/>
          <w:highlight w:val="white"/>
        </w:rPr>
        <w:t xml:space="preserve"> образований в 2021 году относительно заплан</w:t>
      </w:r>
      <w:r>
        <w:rPr>
          <w:rFonts w:eastAsiaTheme="minorHAnsi"/>
          <w:sz w:val="28"/>
          <w:szCs w:val="28"/>
          <w:highlight w:val="white"/>
        </w:rPr>
        <w:t xml:space="preserve">ированных сумм.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Объем дебиторской задолженности по консолидированному бюджету области на 1 января 2022 года составил 166889013,5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Просроченная дебиторская задолженность с 1 января 2021 года уменьшилась на 445446,6 тыс. рублей и по состоянию на 1 января 2022 года составила 4496687,4 тыс. рублей, в том числе просроченная дебиторская задолженность более 10 млн рублей сложилась: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сумме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2738297,5 </w:t>
      </w:r>
      <w:r>
        <w:rPr>
          <w:rFonts w:eastAsiaTheme="minorHAnsi"/>
          <w:sz w:val="28"/>
          <w:szCs w:val="28"/>
          <w:highlight w:val="white"/>
        </w:rPr>
        <w:t xml:space="preserve">тыс. рублей по Федеральной налоговой службе в части расчетов с плательщиками налогов, государственных пошлин и сборов; 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сумме 116020,9 тыс. рублей по комитету капитального строительства Саратовской области, который на основании Распоряжения от 07 ноября 2017 года № 3</w:t>
      </w:r>
      <w:r>
        <w:rPr>
          <w:rFonts w:eastAsiaTheme="minorHAnsi"/>
          <w:sz w:val="28"/>
          <w:szCs w:val="28"/>
          <w:highlight w:val="white"/>
        </w:rPr>
        <w:t xml:space="preserve">11-Пр находится в стадии ликвидации;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highlight w:val="white"/>
        </w:rPr>
        <w:t xml:space="preserve">в сумме 33000,0 тыс. рублей по министерству молодежной политике и спорту Саратовской области в результате неисполнения обязательств контрагентами по представленным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субсидиям и грантам на развитие на территории области о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тдельных видов спорта (спортивных дисциплин);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в сумме 56887,6 тыс. рублей по министерству транспорта и дорожного хозяйства Саратовской области по предоставленным авансам по расторгнутым контрактам на содержание дорог;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в сумме 39442,1 тыс. рублей по </w:t>
      </w:r>
      <w:r>
        <w:rPr>
          <w:rFonts w:eastAsiaTheme="minorHAnsi"/>
          <w:color w:val="000000"/>
          <w:sz w:val="28"/>
          <w:szCs w:val="28"/>
        </w:rPr>
        <w:t xml:space="preserve">Балаков</w:t>
      </w:r>
      <w:r>
        <w:rPr>
          <w:rFonts w:eastAsiaTheme="minorHAnsi"/>
          <w:color w:val="000000"/>
          <w:sz w:val="28"/>
          <w:szCs w:val="28"/>
        </w:rPr>
        <w:t xml:space="preserve">скому</w:t>
      </w:r>
      <w:r>
        <w:rPr>
          <w:rFonts w:eastAsiaTheme="minorHAnsi"/>
          <w:color w:val="000000"/>
          <w:sz w:val="28"/>
          <w:szCs w:val="28"/>
        </w:rPr>
        <w:t xml:space="preserve"> муниципальному району по арендной плате;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в сумме 61923,7 тыс. рублей по </w:t>
      </w:r>
      <w:r>
        <w:rPr>
          <w:rFonts w:eastAsiaTheme="minorHAnsi"/>
          <w:color w:val="000000"/>
          <w:sz w:val="28"/>
          <w:szCs w:val="28"/>
        </w:rPr>
        <w:t xml:space="preserve">Балашовскому</w:t>
      </w:r>
      <w:r>
        <w:rPr>
          <w:rFonts w:eastAsiaTheme="minorHAnsi"/>
          <w:color w:val="000000"/>
          <w:sz w:val="28"/>
          <w:szCs w:val="28"/>
        </w:rPr>
        <w:t xml:space="preserve"> муниципальному района области по платным услугам за водоснабжение;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в сумме 55826,9 тыс. рублей по Саратовскому муниципальному району области по </w:t>
      </w:r>
      <w:r>
        <w:rPr>
          <w:rFonts w:eastAsiaTheme="minorHAnsi"/>
          <w:color w:val="000000"/>
          <w:sz w:val="28"/>
          <w:szCs w:val="28"/>
        </w:rPr>
        <w:t xml:space="preserve">услугам за </w:t>
      </w:r>
      <w:r>
        <w:rPr>
          <w:rFonts w:eastAsiaTheme="minorHAnsi"/>
          <w:color w:val="000000"/>
          <w:sz w:val="28"/>
          <w:szCs w:val="28"/>
        </w:rPr>
        <w:t xml:space="preserve">теплоэнергию</w:t>
      </w:r>
      <w:r>
        <w:rPr>
          <w:rFonts w:eastAsiaTheme="minorHAnsi"/>
          <w:color w:val="000000"/>
          <w:sz w:val="28"/>
          <w:szCs w:val="28"/>
        </w:rPr>
        <w:t xml:space="preserve">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538181,7 тыс. рублей по</w:t>
      </w:r>
      <w:r>
        <w:rPr>
          <w:rFonts w:eastAsiaTheme="minorHAnsi"/>
          <w:sz w:val="28"/>
          <w:szCs w:val="28"/>
          <w:highlight w:val="white"/>
        </w:rPr>
        <w:t xml:space="preserve"> муниципальному образованию «Город Саратов»,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 в том числе: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несвоевременная оплата населением за наем муниципальных жилых помещений в сумме 62907, 7  тыс.  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 задолженность прошлых периодов по</w:t>
      </w:r>
      <w:r>
        <w:rPr>
          <w:rFonts w:eastAsiaTheme="minorHAnsi"/>
          <w:color w:val="000000"/>
          <w:sz w:val="28"/>
          <w:szCs w:val="24"/>
        </w:rPr>
        <w:t xml:space="preserve"> договорам купли-продажи недвижимого имущества в сумме 4801, 3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неустойка за просрочку ввода объекта в эксплуатацию с ООО «Волга-Сервис» в сумме 12780,8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вступившие в силу судебные решения о взыскании сумм в пользу бюджета  муни</w:t>
      </w:r>
      <w:r>
        <w:rPr>
          <w:rFonts w:eastAsiaTheme="minorHAnsi"/>
          <w:color w:val="000000"/>
          <w:sz w:val="28"/>
          <w:szCs w:val="24"/>
        </w:rPr>
        <w:t xml:space="preserve">ципального образования «Город Саратов» и не перечисленные ответчиками на 01.01.2022 года в сумме 98530,9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неисполнение должниками требований об уплате штрафов за административные правонарушения в области государственного регулирования произв</w:t>
      </w:r>
      <w:r>
        <w:rPr>
          <w:rFonts w:eastAsiaTheme="minorHAnsi"/>
          <w:color w:val="000000"/>
          <w:sz w:val="28"/>
          <w:szCs w:val="24"/>
        </w:rPr>
        <w:t xml:space="preserve">одства и оборота этилового спирта, алкогольной, спиртосодержащей продукции в сумме 1329,4 тыс. рублей;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rFonts w:cs="Calibri"/>
        </w:rPr>
      </w:pPr>
      <w:r>
        <w:rPr>
          <w:rFonts w:eastAsiaTheme="minorHAnsi"/>
          <w:color w:val="000000"/>
          <w:sz w:val="28"/>
          <w:szCs w:val="24"/>
        </w:rPr>
        <w:t xml:space="preserve">- задолженность УФНС России по Саратовской области в сумме 357795, 7 тыс. рублей.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6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по дебиторской и кредиторской задолженности представ</w:t>
      </w:r>
      <w:r>
        <w:rPr>
          <w:rFonts w:eastAsiaTheme="minorHAnsi"/>
          <w:sz w:val="28"/>
          <w:szCs w:val="28"/>
          <w:highlight w:val="white"/>
        </w:rPr>
        <w:t xml:space="preserve">лены в приложении по форме 0503369.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tLeast" w:line="283"/>
        <w:rPr>
          <w:sz w:val="28"/>
          <w:szCs w:val="28"/>
        </w:rPr>
      </w:pPr>
      <w:r>
        <w:rPr>
          <w:rFonts w:eastAsiaTheme="minorHAnsi"/>
          <w:sz w:val="28"/>
          <w:szCs w:val="28"/>
          <w:highlight w:val="white"/>
        </w:rPr>
        <w:t xml:space="preserve">В Сведениях об изменении остатков валюты баланса (ф. 0503373) отражены остатки по счетам, сформированные по: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исправлениям ошибок прошлых лет;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изменениями типов государственных учреждений;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изменениям, связанным с внедрением федеральных стандартов бухгалтерского учета государственных финансов;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пересчетом показателей отчетности;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исправлением ошибок прошлых лет по результатам внешнего (внутреннего) государственного (муниципального) финансового </w:t>
      </w:r>
      <w:r>
        <w:rPr>
          <w:rFonts w:eastAsiaTheme="minorHAnsi"/>
          <w:sz w:val="28"/>
          <w:szCs w:val="28"/>
          <w:highlight w:val="white"/>
        </w:rPr>
        <w:t xml:space="preserve">контроля.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both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40"/>
        <w:jc w:val="center"/>
        <w:rPr>
          <w:b/>
          <w:sz w:val="28"/>
          <w:szCs w:val="28"/>
          <w:highlight w:val="whit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5 «Прочие вопросы деятельности субъекта бюджетной отчетности»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Бухгалтерский учет осуществля</w:t>
      </w:r>
      <w:r>
        <w:rPr>
          <w:rFonts w:eastAsiaTheme="minorHAnsi"/>
          <w:sz w:val="28"/>
          <w:szCs w:val="28"/>
          <w:highlight w:val="white"/>
        </w:rPr>
        <w:t xml:space="preserve">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1-го декабря 2010 года № 157н «Об утверждении Единого плана с</w:t>
      </w:r>
      <w:r>
        <w:rPr>
          <w:rFonts w:eastAsiaTheme="minorHAnsi"/>
          <w:sz w:val="28"/>
          <w:szCs w:val="28"/>
          <w:highlight w:val="white"/>
        </w:rPr>
        <w:t xml:space="preserve">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>
        <w:rPr>
          <w:rFonts w:eastAsiaTheme="minorHAnsi"/>
          <w:sz w:val="28"/>
          <w:szCs w:val="28"/>
          <w:highlight w:val="white"/>
        </w:rPr>
        <w:t xml:space="preserve"> Инструкции по его применению», с применением федеральных стандартов, в том числе вступивших в действие с 1 января 2021 года.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Бухгалтерская отчетность составляется в соответствии с требованиями приказа Министерства финансов Российской Федерации от 28 декаб</w:t>
      </w:r>
      <w:r>
        <w:rPr>
          <w:rFonts w:eastAsiaTheme="minorHAnsi"/>
          <w:sz w:val="28"/>
          <w:szCs w:val="28"/>
          <w:highlight w:val="white"/>
        </w:rPr>
        <w:t xml:space="preserve">ря </w:t>
      </w:r>
      <w:r>
        <w:rPr>
          <w:rFonts w:eastAsiaTheme="minorHAnsi"/>
          <w:sz w:val="28"/>
          <w:szCs w:val="28"/>
          <w:highlight w:val="white"/>
        </w:rPr>
        <w:br/>
        <w:t xml:space="preserve"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совместными письмами Министерства финансов Российской Федераци</w:t>
      </w:r>
      <w:r>
        <w:rPr>
          <w:rFonts w:eastAsiaTheme="minorHAnsi"/>
          <w:sz w:val="28"/>
          <w:szCs w:val="28"/>
          <w:highlight w:val="white"/>
        </w:rPr>
        <w:t xml:space="preserve">и от 01 декабря 2021 </w:t>
      </w:r>
      <w:r>
        <w:rPr>
          <w:rFonts w:eastAsiaTheme="minorHAnsi"/>
          <w:sz w:val="28"/>
          <w:szCs w:val="28"/>
          <w:highlight w:val="white"/>
        </w:rPr>
        <w:br/>
        <w:t xml:space="preserve">№ 02-06-07/97427 и Федерального казначейства № 07-04-05/02-29373 </w:t>
      </w:r>
      <w:r>
        <w:rPr>
          <w:rFonts w:eastAsiaTheme="minorHAnsi"/>
          <w:sz w:val="28"/>
          <w:szCs w:val="28"/>
          <w:highlight w:val="white"/>
        </w:rPr>
        <w:br/>
        <w:t xml:space="preserve">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 бухгалтер</w:t>
      </w:r>
      <w:r>
        <w:rPr>
          <w:rFonts w:eastAsiaTheme="minorHAnsi"/>
          <w:sz w:val="28"/>
          <w:szCs w:val="28"/>
          <w:highlight w:val="white"/>
        </w:rPr>
        <w:t xml:space="preserve">ской отчетности государственных бюджетных и автономных учреждений главными администраторами средств федерального бюджета за 2021 год», Министерства финансов Российской Федерации от 30 декабря 2021 года № 02-06-07/108105 и Федерального казначейства № 07-04-</w:t>
      </w:r>
      <w:r>
        <w:rPr>
          <w:rFonts w:eastAsiaTheme="minorHAnsi"/>
          <w:sz w:val="28"/>
          <w:szCs w:val="28"/>
          <w:highlight w:val="white"/>
        </w:rPr>
        <w:t xml:space="preserve">05/02-33040  «О дополнительных критериях по раскрытию информации при составлении и представлении годовой бюджетной отчетности, консолидированной бухгалтерской отчетности государственных (муниципальных) бюджетных и автономных учреждений финансовыми органами</w:t>
      </w:r>
      <w:r>
        <w:rPr>
          <w:rFonts w:eastAsiaTheme="minorHAnsi"/>
          <w:sz w:val="28"/>
          <w:szCs w:val="28"/>
          <w:highlight w:val="white"/>
        </w:rPr>
        <w:t xml:space="preserve"> субъектов Российской Федерации и органами управления государственными внебюджетными фондами за 2021 год».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справке по заключению счетов бюджетного учета отчетного финансового года (ф. 0503110) начислены доходы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текущего финансового года</w:t>
      </w:r>
      <w:r>
        <w:rPr>
          <w:rFonts w:eastAsiaTheme="minorHAnsi"/>
          <w:sz w:val="28"/>
          <w:szCs w:val="28"/>
          <w:highlight w:val="white"/>
        </w:rPr>
        <w:t xml:space="preserve"> по номеру счета бю</w:t>
      </w:r>
      <w:r>
        <w:rPr>
          <w:rFonts w:eastAsiaTheme="minorHAnsi"/>
          <w:sz w:val="28"/>
          <w:szCs w:val="28"/>
          <w:highlight w:val="white"/>
        </w:rPr>
        <w:t xml:space="preserve">джетного учета: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0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- 140110191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2436995052 рублей 29 копеек отражены безвозмездные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 поступления от сектора государственного управления и органов государственного сектора, в том числе получены материальные ценности, оплаченные в порядке центра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лизованного снабжения Министерством здравоохранения Российской Федерации, в сумме 892379693 рублей 80 копеек;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0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- 140110195 в сумме 4167259523 рублей 65 копеек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отражены </w:t>
      </w:r>
      <w:r>
        <w:rPr>
          <w:rFonts w:eastAsiaTheme="minorHAnsi"/>
          <w:sz w:val="28"/>
          <w:szCs w:val="28"/>
          <w:highlight w:val="white"/>
        </w:rPr>
        <w:t xml:space="preserve">безвозмездно полученные земельные участки, движимое и недвижимое имущество</w:t>
      </w:r>
      <w:r>
        <w:rPr>
          <w:rFonts w:eastAsiaTheme="minorHAnsi"/>
          <w:color w:val="000000"/>
          <w:sz w:val="28"/>
          <w:highlight w:val="white"/>
        </w:rPr>
        <w:t xml:space="preserve"> от сектора гос</w:t>
      </w:r>
      <w:r>
        <w:rPr>
          <w:rFonts w:eastAsiaTheme="minorHAnsi"/>
          <w:color w:val="000000"/>
          <w:sz w:val="28"/>
          <w:highlight w:val="white"/>
        </w:rPr>
        <w:t xml:space="preserve">ударственного управления и органов государственного сектора</w:t>
      </w:r>
      <w:r>
        <w:rPr>
          <w:rFonts w:eastAsiaTheme="minorHAnsi"/>
          <w:sz w:val="28"/>
          <w:szCs w:val="28"/>
          <w:highlight w:val="white"/>
        </w:rPr>
        <w:t xml:space="preserve">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0"/>
        <w:jc w:val="both"/>
        <w:rPr>
          <w:color w:val="000000"/>
          <w:sz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</w:t>
      </w:r>
      <w:r>
        <w:rPr>
          <w:rFonts w:eastAsiaTheme="minorHAnsi"/>
          <w:color w:val="000000"/>
          <w:sz w:val="28"/>
          <w:highlight w:val="white"/>
        </w:rPr>
        <w:t xml:space="preserve"> 140110199 в сумме 5737996724 рублей 12 копеек отражены неразграниченные земельные участки, оприходованный металлолом, а также иные нефинансовые активы, выявленные в результате проведения инвент</w:t>
      </w:r>
      <w:r>
        <w:rPr>
          <w:rFonts w:eastAsiaTheme="minorHAnsi"/>
          <w:color w:val="000000"/>
          <w:sz w:val="28"/>
          <w:highlight w:val="white"/>
        </w:rPr>
        <w:t xml:space="preserve">аризации.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Справке по заключению счетов бюджетного учета отчетного финансового года (ф. 0503110) по КОСГУ 273 «Чрезвычайные расходы по операциям с активами» отражены списания дебиторской задолженности, по КОСГУ 173 «Чрезвычайные доходы от операций с актив</w:t>
      </w:r>
      <w:r>
        <w:rPr>
          <w:rFonts w:eastAsiaTheme="minorHAnsi"/>
          <w:sz w:val="28"/>
          <w:szCs w:val="28"/>
          <w:highlight w:val="white"/>
        </w:rPr>
        <w:t xml:space="preserve">ами» списания дебиторской и кредиторской задолженности</w:t>
      </w:r>
      <w:r>
        <w:rPr>
          <w:rFonts w:eastAsiaTheme="minorHAnsi"/>
          <w:highlight w:val="white"/>
        </w:rPr>
        <w:t xml:space="preserve">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lineRule="atLeast" w:line="283"/>
      </w:pPr>
      <w:r>
        <w:rPr>
          <w:rFonts w:eastAsiaTheme="minorHAnsi"/>
          <w:sz w:val="28"/>
          <w:szCs w:val="28"/>
        </w:rPr>
        <w:t xml:space="preserve">Расхождение показателей раздела 1 и раздела 2 в форме 0503323 Консолидированный отчет о движении денежных средств на 1-е января 2022 года в сумме 100000 рублей 00  сложился из-за отражения по коду дох</w:t>
      </w:r>
      <w:r>
        <w:rPr>
          <w:rFonts w:eastAsiaTheme="minorHAnsi"/>
          <w:sz w:val="28"/>
          <w:szCs w:val="28"/>
        </w:rPr>
        <w:t xml:space="preserve">ода 000 117 01050 13 0000 180 «Невыясненные поступления, зачисляемые в бюджеты городских поселений» межбюджетного трансферта, который был перечислен из бюджета области в бюджет городского поселения и отнесен на невыясненные поступления, зачисляемые в бюдже</w:t>
      </w:r>
      <w:r>
        <w:rPr>
          <w:rFonts w:eastAsiaTheme="minorHAnsi"/>
          <w:sz w:val="28"/>
          <w:szCs w:val="28"/>
        </w:rPr>
        <w:t xml:space="preserve">ты городских поселений, 29 декабря 2021 года.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форме 0503368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Сведения о движении нефинансовых активов консолидированного бюджета по строке 560 «</w:t>
      </w:r>
      <w:r>
        <w:rPr>
          <w:rFonts w:eastAsiaTheme="minorHAnsi"/>
          <w:sz w:val="28"/>
          <w:szCs w:val="28"/>
          <w:highlight w:val="white"/>
        </w:rPr>
        <w:t xml:space="preserve">Вложения в объекты государственной (муниципальной) казны » (счет 01065X000) отражены вложения в объекты имущест</w:t>
      </w:r>
      <w:r>
        <w:rPr>
          <w:rFonts w:eastAsiaTheme="minorHAnsi"/>
          <w:sz w:val="28"/>
          <w:szCs w:val="28"/>
          <w:highlight w:val="white"/>
        </w:rPr>
        <w:t xml:space="preserve">ва казны.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0"/>
        <w:jc w:val="both"/>
        <w:rPr>
          <w:rFonts w:cs="Calibri"/>
          <w:sz w:val="24"/>
          <w:szCs w:val="24"/>
        </w:rPr>
      </w:pPr>
      <w:r>
        <w:rPr>
          <w:rFonts w:eastAsiaTheme="minorHAnsi"/>
          <w:sz w:val="28"/>
          <w:szCs w:val="28"/>
          <w:highlight w:val="white"/>
        </w:rPr>
        <w:t xml:space="preserve">Расхождение показателей формы 0503321 Консолидированный отчет о финансовых результатах деятельности и формы 0503368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Сведения о движении нефинансовых активов консолидированного бюджета</w:t>
      </w:r>
      <w:r>
        <w:rPr>
          <w:rFonts w:eastAsiaTheme="minorHAnsi"/>
          <w:sz w:val="28"/>
          <w:szCs w:val="28"/>
          <w:highlight w:val="white"/>
        </w:rPr>
        <w:t xml:space="preserve"> в сумме 168679523 рублей 50 копеек сложилось </w:t>
      </w:r>
      <w:r>
        <w:rPr>
          <w:rFonts w:eastAsiaTheme="minorHAnsi"/>
          <w:color w:val="000000"/>
          <w:sz w:val="28"/>
          <w:szCs w:val="24"/>
        </w:rPr>
        <w:t xml:space="preserve">в части неучтенны</w:t>
      </w:r>
      <w:r>
        <w:rPr>
          <w:rFonts w:eastAsiaTheme="minorHAnsi"/>
          <w:color w:val="000000"/>
          <w:sz w:val="28"/>
          <w:szCs w:val="24"/>
        </w:rPr>
        <w:t xml:space="preserve">х в контроле показателей по счету 1 106 52 000 и </w:t>
      </w:r>
      <w:r>
        <w:rPr>
          <w:rFonts w:eastAsiaTheme="minorHAnsi"/>
          <w:color w:val="000000"/>
          <w:sz w:val="28"/>
        </w:rPr>
        <w:t xml:space="preserve">в сумме </w:t>
      </w:r>
      <w:r>
        <w:rPr>
          <w:rFonts w:eastAsiaTheme="minorHAnsi"/>
          <w:sz w:val="28"/>
          <w:szCs w:val="28"/>
          <w:highlight w:val="white"/>
        </w:rPr>
        <w:t xml:space="preserve">13 979 969 рублей 20 копеек</w:t>
      </w:r>
      <w:r>
        <w:rPr>
          <w:rFonts w:eastAsiaTheme="minorHAnsi"/>
          <w:color w:val="000000"/>
          <w:sz w:val="28"/>
        </w:rPr>
        <w:t xml:space="preserve">  по счету 1 108 57 «Движимое имущество казны», отраженные по строке 530</w:t>
      </w:r>
      <w:r>
        <w:rPr>
          <w:rFonts w:eastAsiaTheme="minorHAnsi"/>
          <w:color w:val="000000"/>
          <w:sz w:val="28"/>
        </w:rPr>
        <w:t xml:space="preserve"> «прочие активы, составляющие казну» с кодом расходов 410 «Изменение стоимости основных средств» (проектно-техническая документация), которые также не учтены в контроле. </w:t>
      </w:r>
      <w:r>
        <w:rPr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  <w:highlight w:val="white"/>
        </w:rPr>
        <w:t xml:space="preserve">Отрицательный показатель по строке 961 «обслуживание внутренних долговых обязательств</w:t>
      </w:r>
      <w:r>
        <w:rPr>
          <w:rFonts w:eastAsiaTheme="minorHAnsi"/>
          <w:sz w:val="28"/>
          <w:szCs w:val="28"/>
          <w:highlight w:val="white"/>
        </w:rPr>
        <w:t xml:space="preserve"> (в части процентов, пеней и штрафных санкций по полученным бюджетным кредитам)» формы 0503321 Консолидированный отчет о финансовых результатах деятельности сложился в результате произведенного в 2021 году перерасчета процентов за пользование бюджетными кр</w:t>
      </w:r>
      <w:r>
        <w:rPr>
          <w:rFonts w:eastAsiaTheme="minorHAnsi"/>
          <w:sz w:val="28"/>
          <w:szCs w:val="28"/>
          <w:highlight w:val="white"/>
        </w:rPr>
        <w:t xml:space="preserve">едитами, предоставленными бюджетами муниципальных районов бюджетам городских и сельских поселений, в связи с их досрочным погашением.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7"/>
        <w:jc w:val="both"/>
        <w:widowControl w:val="off"/>
        <w:rPr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Начисленные расходы по перечислению другим бюджетам бюджетной системы Российской Федерации в Консолидированном отчете о фи</w:t>
      </w:r>
      <w:r>
        <w:rPr>
          <w:rFonts w:eastAsiaTheme="minorHAnsi"/>
          <w:sz w:val="28"/>
          <w:szCs w:val="28"/>
          <w:highlight w:val="white"/>
        </w:rPr>
        <w:t xml:space="preserve">нансовых результатах деятельности (ф. 0503321), отраженные в графе 4 в сумме </w:t>
      </w:r>
      <w:r>
        <w:rPr>
          <w:rFonts w:eastAsiaTheme="minorHAnsi"/>
          <w:sz w:val="28"/>
          <w:szCs w:val="28"/>
          <w:highlight w:val="white"/>
        </w:rPr>
        <w:t xml:space="preserve">2788081659 рублей 54 копейки, не соответствуют показателям в Справке по консолидированным расчетам (ф. 0503125) по счету 1 401 20 251 «Расходы на перечисления другим бюджетам бюдж</w:t>
      </w:r>
      <w:r>
        <w:rPr>
          <w:rFonts w:eastAsiaTheme="minorHAnsi"/>
          <w:sz w:val="28"/>
          <w:szCs w:val="28"/>
          <w:highlight w:val="white"/>
        </w:rPr>
        <w:t xml:space="preserve">етной системы Российской Федерации» в сумме 2739596578 рублей 16 копейки на сумму 48485081 рублей 38 копеек, в том числе: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39"/>
        <w:jc w:val="both"/>
        <w:widowControl w:val="off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сумме  4621133 рублей 43 копейки в связи с заключением договоров аренды на льготных условиях;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39"/>
        <w:jc w:val="both"/>
        <w:widowControl w:val="off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</w:rPr>
        <w:t xml:space="preserve">в сумме 213593 рублей 90 копеек на </w:t>
      </w:r>
      <w:r>
        <w:rPr>
          <w:rFonts w:eastAsiaTheme="minorHAnsi"/>
          <w:sz w:val="28"/>
        </w:rPr>
        <w:t xml:space="preserve">сто</w:t>
      </w:r>
      <w:r>
        <w:rPr>
          <w:rFonts w:eastAsiaTheme="minorHAnsi"/>
          <w:sz w:val="28"/>
        </w:rPr>
        <w:t xml:space="preserve">имость переданных непроизведенных активов от главного распорядителя средств муниципального бюджета федеральному государственному бюджетному учреждению;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39"/>
        <w:jc w:val="both"/>
        <w:widowControl w:val="off"/>
        <w:rPr>
          <w:sz w:val="28"/>
          <w:szCs w:val="28"/>
        </w:rPr>
      </w:pPr>
      <w:r>
        <w:rPr>
          <w:rFonts w:eastAsiaTheme="minorHAnsi"/>
          <w:sz w:val="28"/>
          <w:szCs w:val="28"/>
          <w:highlight w:val="white"/>
        </w:rPr>
        <w:t xml:space="preserve">в сумме </w:t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43650354 </w:t>
      </w:r>
      <w:r>
        <w:rPr>
          <w:rFonts w:eastAsiaTheme="minorHAnsi"/>
          <w:sz w:val="28"/>
          <w:szCs w:val="28"/>
          <w:highlight w:val="white"/>
        </w:rPr>
        <w:t xml:space="preserve">рублей 05 копеек в результате формирования резерва к возмещению расходов в части несогл</w:t>
      </w:r>
      <w:r>
        <w:rPr>
          <w:rFonts w:eastAsiaTheme="minorHAnsi"/>
          <w:sz w:val="28"/>
          <w:szCs w:val="28"/>
          <w:highlight w:val="white"/>
        </w:rPr>
        <w:t xml:space="preserve">асованных сумм расходов по результатам проведенной экспертизы предоставленной медицинской помощи за пределами территории субъекта Российской Федерации, в котором выдан полис обязательного медицинского страхования.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sz w:val="28"/>
        </w:rPr>
      </w:pPr>
      <w:r>
        <w:rPr>
          <w:rFonts w:eastAsiaTheme="minorHAnsi"/>
          <w:sz w:val="28"/>
          <w:szCs w:val="28"/>
        </w:rPr>
        <w:t xml:space="preserve">Расхождение показателей формы 0503369 Свед</w:t>
      </w:r>
      <w:r>
        <w:rPr>
          <w:rFonts w:eastAsiaTheme="minorHAnsi"/>
          <w:sz w:val="28"/>
          <w:szCs w:val="28"/>
        </w:rPr>
        <w:t xml:space="preserve">ения по дебиторской и кредиторской задолженности с формой 0503125 Справка по консолидируемым расчетам по счету 140140151 «Доходы от поступлений текущего характера от других бюджетов бюджетной системы Российской Федерации» и 120551000 «Расчеты по поступлени</w:t>
      </w:r>
      <w:r>
        <w:rPr>
          <w:rFonts w:eastAsiaTheme="minorHAnsi"/>
          <w:sz w:val="28"/>
          <w:szCs w:val="28"/>
        </w:rPr>
        <w:t xml:space="preserve">ям текущего характера от других бюджетов бюджетной системы Российской Федерации» на сумму 178332 рублей 00 копеек сложилось в </w:t>
      </w:r>
      <w:r>
        <w:rPr>
          <w:rFonts w:eastAsiaTheme="minorHAnsi"/>
          <w:color w:val="000000"/>
          <w:sz w:val="28"/>
          <w:szCs w:val="24"/>
        </w:rPr>
        <w:t xml:space="preserve"> части неучтенных в контроле показателей по федеральным администраторам доходов бюджета</w:t>
      </w:r>
      <w:r>
        <w:rPr>
          <w:rFonts w:eastAsiaTheme="minorHAnsi"/>
          <w:sz w:val="28"/>
          <w:szCs w:val="28"/>
        </w:rPr>
        <w:t xml:space="preserve">; в сумме </w:t>
      </w:r>
      <w:r>
        <w:rPr>
          <w:rFonts w:eastAsiaTheme="minorHAnsi"/>
          <w:color w:val="000000"/>
          <w:sz w:val="28"/>
          <w:szCs w:val="24"/>
        </w:rPr>
        <w:t xml:space="preserve">принятых территориальным фондом о</w:t>
      </w:r>
      <w:r>
        <w:rPr>
          <w:rFonts w:eastAsiaTheme="minorHAnsi"/>
          <w:color w:val="000000"/>
          <w:sz w:val="28"/>
          <w:szCs w:val="24"/>
        </w:rPr>
        <w:t xml:space="preserve">бязательного медицинского страхования обязательств за счет резерва на сумму 45616371 рублей 68 копеек, а также в сумме </w:t>
      </w:r>
      <w:r>
        <w:rPr>
          <w:rFonts w:eastAsiaTheme="minorHAnsi"/>
          <w:sz w:val="28"/>
        </w:rPr>
        <w:t xml:space="preserve">12124210311 рублей 31 копейка в результате исправления ошибок предшествующих годов, обнаруженных после утверждения годовой бухгалтерской </w:t>
      </w:r>
      <w:r>
        <w:rPr>
          <w:rFonts w:eastAsiaTheme="minorHAnsi"/>
          <w:sz w:val="28"/>
        </w:rPr>
        <w:t xml:space="preserve">(финансовой) отчетности скорректированы показатели на начало 2021 года по счетам: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jc w:val="both"/>
        <w:rPr>
          <w:sz w:val="28"/>
        </w:rPr>
      </w:pPr>
      <w:r>
        <w:rPr>
          <w:rFonts w:eastAsiaTheme="minorHAnsi"/>
          <w:sz w:val="28"/>
        </w:rPr>
        <w:t xml:space="preserve">- 0 205 51 000, 0 401 49 000 - доходы будущих периодов по представлению межбюджетных трансфертов из федерального бюджета бюджету Саратовской области.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</w:pPr>
      <w:r>
        <w:rPr>
          <w:rFonts w:eastAsiaTheme="minorHAnsi"/>
          <w:sz w:val="28"/>
          <w:szCs w:val="28"/>
          <w:highlight w:val="white"/>
        </w:rPr>
        <w:t xml:space="preserve">Финансовый результат по </w:t>
      </w:r>
      <w:r>
        <w:rPr>
          <w:rFonts w:eastAsiaTheme="minorHAnsi"/>
          <w:sz w:val="28"/>
          <w:szCs w:val="28"/>
          <w:highlight w:val="white"/>
        </w:rPr>
        <w:t xml:space="preserve">счетам 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 не соответствует идентичному показателю в Консолидированном отчете о финансовых результатах деят</w:t>
      </w:r>
      <w:r>
        <w:rPr>
          <w:rFonts w:eastAsiaTheme="minorHAnsi"/>
          <w:sz w:val="28"/>
          <w:szCs w:val="28"/>
          <w:highlight w:val="white"/>
        </w:rPr>
        <w:t xml:space="preserve">ельности (ф. 0503321) по причине преобразования в течение финансового года государственных (муниципальных) учреждений путем изменения их типа на сумму 21445717 рублей 24 копейки соответствующую показателям Справки по консолидируемым расчетам (ф. 0503125) п</w:t>
      </w:r>
      <w:r>
        <w:rPr>
          <w:rFonts w:eastAsiaTheme="minorHAnsi"/>
          <w:sz w:val="28"/>
          <w:szCs w:val="28"/>
          <w:highlight w:val="white"/>
        </w:rPr>
        <w:t xml:space="preserve">о счету 1 304 06 000.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color w:val="000000"/>
          <w:sz w:val="28"/>
        </w:rPr>
      </w:pPr>
      <w:r>
        <w:rPr>
          <w:rFonts w:eastAsiaTheme="minorHAnsi"/>
          <w:color w:val="000000"/>
          <w:sz w:val="28"/>
          <w:szCs w:val="28"/>
        </w:rPr>
        <w:t xml:space="preserve">Расхождение показателей формы </w:t>
      </w:r>
      <w:r>
        <w:rPr>
          <w:rFonts w:eastAsiaTheme="minorHAnsi"/>
          <w:sz w:val="28"/>
          <w:szCs w:val="28"/>
        </w:rPr>
        <w:t xml:space="preserve">0503320 Баланс исполнения консолидированного бюджета субъекта Российской Федерации и бюджета территориального государственного внебюджетного фонда и формы 0503317  Отчет об исполнении консо</w:t>
      </w:r>
      <w:r>
        <w:rPr>
          <w:rFonts w:eastAsiaTheme="minorHAnsi"/>
          <w:sz w:val="28"/>
          <w:szCs w:val="28"/>
        </w:rPr>
        <w:t xml:space="preserve">лидированного бюджета субъекта Российской Федерации и бюджета территориального государственного внебюджетного фонда сложились по причине отражения по счету бюджетного учета 0 201 20 «денежные средства учреждения в кредитной организации» остатка средств на </w:t>
      </w:r>
      <w:r>
        <w:rPr>
          <w:rFonts w:eastAsiaTheme="minorHAnsi"/>
          <w:sz w:val="28"/>
          <w:szCs w:val="28"/>
        </w:rPr>
        <w:t xml:space="preserve">счетах </w:t>
      </w:r>
      <w:r>
        <w:rPr>
          <w:rFonts w:eastAsiaTheme="minorHAnsi"/>
          <w:sz w:val="28"/>
          <w:szCs w:val="28"/>
        </w:rPr>
        <w:t xml:space="preserve">эскроу</w:t>
      </w:r>
      <w:r>
        <w:rPr>
          <w:rFonts w:eastAsiaTheme="minorHAnsi"/>
          <w:sz w:val="28"/>
          <w:szCs w:val="28"/>
        </w:rPr>
        <w:t xml:space="preserve"> на начало отчетного периода</w:t>
      </w:r>
      <w:r>
        <w:rPr>
          <w:rFonts w:eastAsiaTheme="minorHAnsi"/>
          <w:color w:val="000000"/>
          <w:sz w:val="28"/>
          <w:szCs w:val="28"/>
        </w:rPr>
        <w:t xml:space="preserve"> в общей сумме 496288793 рублей 36 копеек, в том числе 191552697 рублей 63 копейки по муниципальным контрактам и 304736095 рублей 73 копейки по государственных контрактам, вместе с тем, на конец отчетного периода ос</w:t>
      </w:r>
      <w:r>
        <w:rPr>
          <w:rFonts w:eastAsiaTheme="minorHAnsi"/>
          <w:color w:val="000000"/>
          <w:sz w:val="28"/>
          <w:szCs w:val="28"/>
        </w:rPr>
        <w:t xml:space="preserve">татки на счетах </w:t>
      </w:r>
      <w:r>
        <w:rPr>
          <w:rFonts w:eastAsiaTheme="minorHAnsi"/>
          <w:color w:val="000000"/>
          <w:sz w:val="28"/>
          <w:szCs w:val="28"/>
        </w:rPr>
        <w:t xml:space="preserve">эскроу</w:t>
      </w:r>
      <w:r>
        <w:rPr>
          <w:rFonts w:eastAsiaTheme="minorHAnsi"/>
          <w:color w:val="000000"/>
          <w:sz w:val="28"/>
          <w:szCs w:val="28"/>
        </w:rPr>
        <w:t xml:space="preserve"> отражены в учете, как средства во временном распоряжении.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Расхождение показателей </w:t>
      </w:r>
      <w:r>
        <w:rPr>
          <w:rFonts w:eastAsiaTheme="minorHAnsi"/>
          <w:sz w:val="28"/>
          <w:szCs w:val="28"/>
        </w:rPr>
        <w:t xml:space="preserve">формы 0503317  Отчет об исполнении консолидированного бюджета субъекта Российской Федерации и бюджета территориального государственного внебюджетного ф</w:t>
      </w:r>
      <w:r>
        <w:rPr>
          <w:rFonts w:eastAsiaTheme="minorHAnsi"/>
          <w:sz w:val="28"/>
          <w:szCs w:val="28"/>
        </w:rPr>
        <w:t xml:space="preserve">онда с формой 0503</w:t>
      </w:r>
      <w:r>
        <w:rPr>
          <w:rFonts w:eastAsiaTheme="minorHAnsi"/>
          <w:color w:val="000000"/>
          <w:sz w:val="28"/>
          <w:szCs w:val="28"/>
        </w:rPr>
        <w:t xml:space="preserve">152 Консолидированный отчет о кассовых поступлениях и выбытиях в сумме 33139 рублей 00 копеек сложился по </w:t>
      </w:r>
      <w:r>
        <w:rPr>
          <w:rFonts w:eastAsiaTheme="minorHAnsi"/>
          <w:sz w:val="28"/>
        </w:rPr>
        <w:t xml:space="preserve">некассовым операциям в части удержания из заработной платы командировочных расходов</w:t>
      </w:r>
      <w:r>
        <w:rPr>
          <w:rFonts w:eastAsiaTheme="minorHAnsi"/>
          <w:color w:val="000000"/>
          <w:sz w:val="28"/>
          <w:szCs w:val="28"/>
        </w:rPr>
        <w:t xml:space="preserve">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20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Расхождения показател</w:t>
      </w:r>
      <w:r>
        <w:rPr>
          <w:rFonts w:eastAsiaTheme="minorHAnsi"/>
          <w:sz w:val="28"/>
          <w:szCs w:val="28"/>
        </w:rPr>
        <w:t xml:space="preserve">ей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формы 0503317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Отчет</w:t>
      </w:r>
      <w:r>
        <w:rPr>
          <w:rFonts w:eastAsiaTheme="minorHAnsi"/>
          <w:sz w:val="28"/>
          <w:szCs w:val="28"/>
        </w:rPr>
        <w:t xml:space="preserve">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r>
        <w:rPr>
          <w:rFonts w:eastAsiaTheme="minorHAnsi"/>
          <w:sz w:val="28"/>
          <w:szCs w:val="28"/>
        </w:rPr>
        <w:t xml:space="preserve">с формой 0503387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="Calibri" w:eastAsiaTheme="minorHAnsi"/>
          <w:sz w:val="28"/>
          <w:szCs w:val="28"/>
          <w:lang w:eastAsia="en-US"/>
        </w:rPr>
        <w:t xml:space="preserve">Справочн</w:t>
      </w:r>
      <w:r>
        <w:rPr>
          <w:rFonts w:eastAsia="Calibri" w:eastAsiaTheme="minorHAnsi"/>
          <w:sz w:val="28"/>
          <w:szCs w:val="28"/>
          <w:lang w:eastAsia="en-US"/>
        </w:rPr>
        <w:t xml:space="preserve">ая</w:t>
      </w:r>
      <w:r>
        <w:rPr>
          <w:rFonts w:eastAsia="Calibri" w:eastAsiaTheme="minorHAnsi"/>
          <w:sz w:val="28"/>
          <w:szCs w:val="28"/>
          <w:lang w:eastAsia="en-US"/>
        </w:rPr>
        <w:t xml:space="preserve"> таблиц</w:t>
      </w:r>
      <w:r>
        <w:rPr>
          <w:rFonts w:eastAsia="Calibri" w:eastAsiaTheme="minorHAnsi"/>
          <w:sz w:val="28"/>
          <w:szCs w:val="28"/>
          <w:lang w:eastAsia="en-US"/>
        </w:rPr>
        <w:t xml:space="preserve">а</w:t>
      </w:r>
      <w:r>
        <w:rPr>
          <w:rFonts w:eastAsia="Calibri" w:eastAsiaTheme="minorHAnsi"/>
          <w:sz w:val="28"/>
          <w:szCs w:val="28"/>
          <w:lang w:eastAsia="en-US"/>
        </w:rPr>
        <w:t xml:space="preserve"> к отчету об исполнении консолидированного бюджета субъекта Российской Федерации </w:t>
      </w:r>
      <w:r>
        <w:rPr>
          <w:rFonts w:eastAsiaTheme="minorHAnsi"/>
          <w:sz w:val="28"/>
          <w:szCs w:val="28"/>
        </w:rPr>
        <w:t xml:space="preserve">сложились в результате</w:t>
      </w:r>
      <w:r>
        <w:rPr>
          <w:rFonts w:eastAsiaTheme="minorHAnsi"/>
          <w:sz w:val="28"/>
          <w:szCs w:val="28"/>
        </w:rPr>
        <w:t xml:space="preserve"> </w:t>
      </w:r>
      <w:bookmarkStart w:id="1" w:name="_GoBack"/>
      <w:r>
        <w:rPr>
          <w:rFonts w:eastAsiaTheme="minorHAnsi"/>
        </w:rPr>
      </w:r>
      <w:bookmarkEnd w:id="1"/>
      <w:r>
        <w:rPr>
          <w:rFonts w:eastAsia="Calibri" w:eastAsiaTheme="minorHAnsi"/>
          <w:sz w:val="28"/>
          <w:szCs w:val="28"/>
          <w:lang w:eastAsia="en-US"/>
        </w:rPr>
        <w:t xml:space="preserve">отражения расходов на осуществление воинского учета на территориях, где отсутствуют военные комиссариаты по строкам 00200, 00210, 00220, 00230, а т</w:t>
      </w:r>
      <w:r>
        <w:rPr>
          <w:rFonts w:eastAsia="Calibri" w:eastAsiaTheme="minorHAnsi"/>
          <w:sz w:val="28"/>
          <w:szCs w:val="28"/>
          <w:lang w:eastAsia="en-US"/>
        </w:rPr>
        <w:t xml:space="preserve">ак же по кодам строк 00800, 00801, 00802, 00803. Полномочия Российской Федерации на осуществление воинского учета на территориях, где отсутствуют структурные подразделения военных комиссариатов, передаются соответствующим органам местного самоуправления по</w:t>
      </w:r>
      <w:r>
        <w:rPr>
          <w:rFonts w:eastAsia="Calibri" w:eastAsiaTheme="minorHAnsi"/>
          <w:sz w:val="28"/>
          <w:szCs w:val="28"/>
          <w:lang w:eastAsia="en-US"/>
        </w:rPr>
        <w:t xml:space="preserve">селений и органам местного самоуправления городских округов в соответствии со статьей 8 Федерального закона «О воинской обязанности и воинской службе». Органы местного самоуправления поселений и органы местного самоуправления городских округов осуществляют</w:t>
      </w:r>
      <w:r>
        <w:rPr>
          <w:rFonts w:eastAsia="Calibri" w:eastAsiaTheme="minorHAnsi"/>
          <w:sz w:val="28"/>
          <w:szCs w:val="28"/>
          <w:lang w:eastAsia="en-US"/>
        </w:rPr>
        <w:t xml:space="preserve"> первичный воинский учет граждан, проживающих или пребывающих на территориях указанных муниципальных образований. Работники, исполняющие указанные полномочия, состоят в штате администраций органов местного самоуправления. Расходы на осуществление передавае</w:t>
      </w:r>
      <w:r>
        <w:rPr>
          <w:rFonts w:eastAsia="Calibri" w:eastAsiaTheme="minorHAnsi"/>
          <w:sz w:val="28"/>
          <w:szCs w:val="28"/>
          <w:lang w:eastAsia="en-US"/>
        </w:rPr>
        <w:t xml:space="preserve">мых полномочий на осуществление первичного воинского учета производятся за счет субвенций из федерального бюджета на указанные цели, поэтому в Справочной таблице к отчету об исполнении консолидированного бюджета субъекта Российской Федерации (форма 0503387</w:t>
      </w:r>
      <w:r>
        <w:rPr>
          <w:rFonts w:eastAsia="Calibri" w:eastAsiaTheme="minorHAnsi"/>
          <w:sz w:val="28"/>
          <w:szCs w:val="28"/>
          <w:lang w:eastAsia="en-US"/>
        </w:rPr>
        <w:t xml:space="preserve">) отражены по кодам строк 00801 «фонд оплаты труда государственных (муниципальных) органов», 00802 «иные выплаты персоналу государственных (муниципальных) органов, за исключением фонда оплаты труда», 00803 «взносы по обязательному социальному страхованию н</w:t>
      </w:r>
      <w:r>
        <w:rPr>
          <w:rFonts w:eastAsia="Calibri" w:eastAsiaTheme="minorHAnsi"/>
          <w:sz w:val="28"/>
          <w:szCs w:val="28"/>
          <w:lang w:eastAsia="en-US"/>
        </w:rPr>
        <w:t xml:space="preserve">а выплаты денежного содержания и иные выплаты работникам  государственных (муниципальных) органов» и в составе расходов на содержание органов местного самоуправления по кодам строк 00210 «фонд оплаты труда государственных  (муниципальных) органов», 00220 «</w:t>
      </w:r>
      <w:r>
        <w:rPr>
          <w:rFonts w:eastAsia="Calibri" w:eastAsiaTheme="minorHAnsi"/>
          <w:sz w:val="28"/>
          <w:szCs w:val="28"/>
          <w:lang w:eastAsia="en-US"/>
        </w:rPr>
        <w:t xml:space="preserve">иные выплаты персоналу государственных (муниципальных) органов, за исключением фонда оплаты  труда», 00230 «взносы по обязательному социальному страхованию на выплаты денежного содержания и иные выплаты работникам  государственных  (муниципальных) органов»</w:t>
      </w:r>
      <w:r>
        <w:rPr>
          <w:rFonts w:eastAsiaTheme="minorHAnsi"/>
          <w:sz w:val="28"/>
          <w:szCs w:val="28"/>
        </w:rPr>
        <w:t xml:space="preserve">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показатели Баланса исполнения консолидированн</w:t>
      </w:r>
      <w:r>
        <w:rPr>
          <w:rFonts w:eastAsiaTheme="minorHAnsi"/>
          <w:sz w:val="28"/>
          <w:szCs w:val="28"/>
          <w:highlight w:val="white"/>
        </w:rPr>
        <w:t xml:space="preserve">ого бюджета субъекта Российской Федерации и бюджета территориального государственного внебюджетного фонда (ф. 0503320) по строкам 250 «Дебиторская задолженность по доходам (020500000, 020900000), всего», 510 «Доходы будущих периодов </w:t>
      </w:r>
      <w:r>
        <w:rPr>
          <w:rFonts w:eastAsiaTheme="minorHAnsi"/>
          <w:sz w:val="28"/>
          <w:szCs w:val="28"/>
          <w:highlight w:val="white"/>
        </w:rPr>
        <w:t xml:space="preserve">(040140000)» включаются</w:t>
      </w:r>
      <w:r>
        <w:rPr>
          <w:rFonts w:eastAsiaTheme="minorHAnsi"/>
          <w:sz w:val="28"/>
          <w:szCs w:val="28"/>
          <w:highlight w:val="white"/>
        </w:rPr>
        <w:t xml:space="preserve"> начисленные доходы будущих периодов по предоставляемым в 2022 – 2024 гг. межбюджетным трансфертам, отраженные в графе «суммы, подлежащие исключению в рамках консолидированного бюджета субъекта РФ», из бюджета Саратовской области в бюджеты муниципальных об</w:t>
      </w:r>
      <w:r>
        <w:rPr>
          <w:rFonts w:eastAsiaTheme="minorHAnsi"/>
          <w:sz w:val="28"/>
          <w:szCs w:val="28"/>
          <w:highlight w:val="white"/>
        </w:rPr>
        <w:t xml:space="preserve">разований области по счетам бюджетного учета 1 205 51 000 «Расчеты по поступлениям текущего характера от других бюджетов бюджетной системы Российской Федерации» в сумме 58365594893 рубля 07 копейки, 1 205 61 000 «Расчеты по поступлениям капитального характ</w:t>
      </w:r>
      <w:r>
        <w:rPr>
          <w:rFonts w:eastAsiaTheme="minorHAnsi"/>
          <w:sz w:val="28"/>
          <w:szCs w:val="28"/>
          <w:highlight w:val="white"/>
        </w:rPr>
        <w:t xml:space="preserve">ера от других бюджетов бюджетной системы Российской Федерации» в сумме 1327497139 рубля 97 копеек, 1 401 41 151 «Доходы будущих периодов к признанию в текущем году» в сумме 100000 рублей 00 копеек, 1 401 49 151 «Доходы будущих периодов к признанию в очеред</w:t>
      </w:r>
      <w:r>
        <w:rPr>
          <w:rFonts w:eastAsiaTheme="minorHAnsi"/>
          <w:sz w:val="28"/>
          <w:szCs w:val="28"/>
          <w:highlight w:val="white"/>
        </w:rPr>
        <w:t xml:space="preserve">ные года» в сумме 58365494893 рублей 07 копеек, 1 401 49 161 «Доходы будущих периодов к признанию в очередные года» в сумме 1327497139 рубля 97 копеек</w:t>
      </w:r>
      <w:r>
        <w:rPr>
          <w:rFonts w:eastAsiaTheme="minorHAnsi"/>
          <w:sz w:val="28"/>
          <w:szCs w:val="28"/>
        </w:rPr>
        <w:t xml:space="preserve">;</w:t>
      </w:r>
      <w:r>
        <w:rPr>
          <w:rFonts w:eastAsiaTheme="minorHAnsi"/>
          <w:sz w:val="28"/>
          <w:szCs w:val="28"/>
          <w:highlight w:val="white"/>
        </w:rPr>
        <w:t xml:space="preserve"> из бюджетов муниципальных районов области в бюджеты городских и сельских поселений области, из бюджетов </w:t>
      </w:r>
      <w:r>
        <w:rPr>
          <w:rFonts w:eastAsiaTheme="minorHAnsi"/>
          <w:sz w:val="28"/>
          <w:szCs w:val="28"/>
          <w:highlight w:val="white"/>
        </w:rPr>
        <w:t xml:space="preserve">городских и сельских поселений области в бюджеты муниципальных районов области по счетам бюджетного учета 1 205 51 000 «Расчеты по поступлениям текущего характера от других бюджетов бюджетной системы Российской Федерации» в сумме 2654483759 рубля 00 копеек</w:t>
      </w:r>
      <w:r>
        <w:rPr>
          <w:rFonts w:eastAsiaTheme="minorHAnsi"/>
          <w:sz w:val="28"/>
          <w:szCs w:val="28"/>
          <w:highlight w:val="white"/>
        </w:rPr>
        <w:t xml:space="preserve">,  1 401 40 151 «Доходы будущих периодов от поступлений текущего характера от других бюджетов бюджетной системы Российской Федерации» в сумме 2654483759 рубля 00 копеек.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</w:t>
      </w:r>
      <w:r>
        <w:rPr>
          <w:rFonts w:eastAsiaTheme="minorHAnsi"/>
          <w:sz w:val="28"/>
          <w:szCs w:val="28"/>
          <w:highlight w:val="white"/>
        </w:rPr>
        <w:t xml:space="preserve">оказатель графы 21 «Кассовые расходы с начала реализации инвестиционного проекта – вс</w:t>
      </w:r>
      <w:r>
        <w:rPr>
          <w:rFonts w:eastAsiaTheme="minorHAnsi"/>
          <w:sz w:val="28"/>
          <w:szCs w:val="28"/>
          <w:highlight w:val="white"/>
        </w:rPr>
        <w:t xml:space="preserve">его» в форме 0503190 Сведения о вложениях в объекты недвижимого имущества, объектах незавершенного строительства меньше, чем показатель графы 20 «фактические (по счету 0106Х1000) на конец года» в связи с безвозмездной передачей фактических затрат от одного</w:t>
      </w:r>
      <w:r>
        <w:rPr>
          <w:rFonts w:eastAsiaTheme="minorHAnsi"/>
          <w:sz w:val="28"/>
          <w:szCs w:val="28"/>
          <w:highlight w:val="white"/>
        </w:rPr>
        <w:t xml:space="preserve"> балансодержателя к другому с указанием фактически</w:t>
      </w:r>
      <w:r>
        <w:rPr>
          <w:rFonts w:eastAsiaTheme="minorHAnsi"/>
          <w:sz w:val="28"/>
          <w:szCs w:val="28"/>
        </w:rPr>
        <w:t xml:space="preserve">х расходов (переданы показатели сформированных вложений в недвижимое имущество по акту приема-передачи НФА), без передачи показателей ранее произведенных кассовых расходов (по акту приема-передачи НФА не пе</w:t>
      </w:r>
      <w:r>
        <w:rPr>
          <w:rFonts w:eastAsiaTheme="minorHAnsi"/>
          <w:sz w:val="28"/>
          <w:szCs w:val="28"/>
        </w:rPr>
        <w:t xml:space="preserve">редаются).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Показатели графы 17 «фактические по счету (0 106Х1000) на начало года» </w:t>
      </w:r>
      <w:r>
        <w:rPr>
          <w:rFonts w:eastAsiaTheme="minorHAnsi"/>
          <w:sz w:val="28"/>
          <w:szCs w:val="28"/>
          <w:highlight w:val="white"/>
        </w:rPr>
        <w:t xml:space="preserve">в форме 0503190 Сведения о вложениях в объекты недвижимого имущества, объектах незавершенного строительства</w:t>
      </w:r>
      <w:r>
        <w:rPr>
          <w:rFonts w:eastAsiaTheme="minorHAnsi"/>
          <w:sz w:val="28"/>
          <w:szCs w:val="28"/>
        </w:rPr>
        <w:t xml:space="preserve"> не соответствуют показателям предыдущего года графы 20 «фактически</w:t>
      </w:r>
      <w:r>
        <w:rPr>
          <w:rFonts w:eastAsiaTheme="minorHAnsi"/>
          <w:sz w:val="28"/>
          <w:szCs w:val="28"/>
        </w:rPr>
        <w:t xml:space="preserve">е по счету (0 106Х1000) на конец года»: в связи с изменением валюты баланса – уменьшение входящего остатка на сумму</w:t>
      </w:r>
      <w:r>
        <w:rPr>
          <w:rFonts w:eastAsiaTheme="minorHAnsi"/>
          <w:sz w:val="28"/>
          <w:szCs w:val="28"/>
        </w:rPr>
        <w:br/>
        <w:t xml:space="preserve">91913057 рублей 06 копеек,  в связи с исправлением ошибок прошлых лет в бюджетном учете.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right="-2" w:firstLine="709"/>
        <w:jc w:val="both"/>
        <w:shd w:val="clear" w:fill="FFFFFF" w:color="auto"/>
        <w:tabs>
          <w:tab w:val="left" w:pos="426" w:leader="none"/>
        </w:tabs>
        <w:rPr>
          <w:color w:val="000000"/>
        </w:rPr>
      </w:pPr>
      <w:r>
        <w:rPr>
          <w:rFonts w:eastAsiaTheme="minorHAnsi"/>
          <w:color w:val="000000"/>
          <w:sz w:val="28"/>
          <w:szCs w:val="28"/>
        </w:rPr>
        <w:t xml:space="preserve">В форме </w:t>
      </w:r>
      <w:r>
        <w:rPr>
          <w:rFonts w:eastAsiaTheme="minorHAnsi"/>
          <w:sz w:val="28"/>
          <w:szCs w:val="28"/>
          <w:highlight w:val="white"/>
        </w:rPr>
        <w:t xml:space="preserve">0503190 Сведения о вложениях в объекты недвижимого имущества, объектах незавершенного строительства</w:t>
      </w:r>
      <w:r>
        <w:rPr>
          <w:rFonts w:eastAsiaTheme="minorHAnsi"/>
          <w:color w:val="000000"/>
          <w:sz w:val="28"/>
          <w:szCs w:val="28"/>
        </w:rPr>
        <w:t xml:space="preserve"> сумма фактических расходов (в связке ИНН графа 2, учетный номер граф 5, 6) на начало года не соответствует показателям  предыдущего года (в связке ИНН графы</w:t>
      </w:r>
      <w:r>
        <w:rPr>
          <w:rFonts w:eastAsiaTheme="minorHAnsi"/>
          <w:color w:val="000000"/>
          <w:sz w:val="28"/>
          <w:szCs w:val="28"/>
        </w:rPr>
        <w:t xml:space="preserve"> 3, учетный номер граф 6, 7) в связи с</w:t>
      </w:r>
      <w:r>
        <w:rPr>
          <w:rFonts w:eastAsiaTheme="minorHAnsi"/>
        </w:rPr>
        <w:t xml:space="preserve"> </w:t>
      </w:r>
      <w:r>
        <w:rPr>
          <w:rFonts w:eastAsiaTheme="minorHAnsi"/>
          <w:color w:val="000000"/>
          <w:sz w:val="28"/>
          <w:szCs w:val="28"/>
        </w:rPr>
        <w:t xml:space="preserve">изменением и (или) корректировкой данных по объектам (уточнение наименования объекта, ИНН учреждения, код объекта, кадастровый номер, сметная стоимость и т. д.) по причине исправления ошибок прошлых лет и приведение в</w:t>
      </w:r>
      <w:r>
        <w:rPr>
          <w:rFonts w:eastAsiaTheme="minorHAnsi"/>
          <w:color w:val="000000"/>
          <w:sz w:val="28"/>
          <w:szCs w:val="28"/>
        </w:rPr>
        <w:t xml:space="preserve"> соответствие учетного кода объекта графы 5,  с учетом новых требований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rFonts w:eastAsiaTheme="minorHAnsi"/>
          <w:color w:val="000000"/>
          <w:sz w:val="28"/>
          <w:szCs w:val="28"/>
        </w:rPr>
        <w:t xml:space="preserve">системы Российской Федерации, утвержденной приказом Минфина </w:t>
      </w:r>
      <w:r>
        <w:rPr>
          <w:rFonts w:eastAsiaTheme="minorHAnsi"/>
          <w:color w:val="000000"/>
          <w:sz w:val="28"/>
          <w:szCs w:val="28"/>
        </w:rPr>
        <w:t xml:space="preserve">России от 28 декабря 2010 г. N 191н.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3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</w:t>
      </w:r>
      <w:r>
        <w:rPr>
          <w:rFonts w:eastAsiaTheme="minorHAnsi"/>
          <w:sz w:val="28"/>
          <w:szCs w:val="28"/>
          <w:highlight w:val="white"/>
        </w:rPr>
        <w:t xml:space="preserve">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обязательств.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Выявленные при инвентаризации расхождения между фактическим налич</w:t>
      </w:r>
      <w:r>
        <w:rPr>
          <w:rFonts w:eastAsiaTheme="minorHAnsi"/>
          <w:sz w:val="28"/>
          <w:szCs w:val="28"/>
          <w:highlight w:val="white"/>
        </w:rPr>
        <w:t xml:space="preserve">ием объектов и данными регистров бухгалтерского учета отражены в бухгалтерском учете в установленном законодательством порядке.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</w:t>
      </w:r>
      <w:r>
        <w:rPr>
          <w:rFonts w:eastAsiaTheme="minorHAnsi"/>
          <w:sz w:val="28"/>
          <w:szCs w:val="28"/>
          <w:highlight w:val="white"/>
        </w:rPr>
        <w:t xml:space="preserve">ской Федерации за отчетный период не представлена Справка по консолидируемым расчетам (ф. 0503125) по счетам 1 206 51 000, 1 301 21 000, 1 301 21 710, 1 301 31 000, 301 31 710, 301 31 810, 1 301 21 810, 1 302 51 000, 1 401 10 189.</w:t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tbl>
      <w:tblPr>
        <w:tblStyle w:val="887"/>
        <w:tblpPr w:horzAnchor="margin" w:tblpXSpec="left" w:vertAnchor="text" w:tblpY="135" w:leftFromText="180" w:topFromText="0" w:rightFromText="180" w:bottomFromText="0"/>
        <w:tblW w:w="993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>
        <w:trPr>
          <w:trHeight w:val="1421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Исполняющий обязанности</w:t>
            </w:r>
            <w:r/>
          </w:p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министра финансов </w:t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Саратовской области </w:t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И.С. </w:t>
            </w:r>
            <w:r>
              <w:rPr>
                <w:b/>
                <w:bCs/>
                <w:sz w:val="28"/>
                <w:szCs w:val="28"/>
              </w:rPr>
              <w:t xml:space="preserve">Бегинина</w:t>
            </w:r>
            <w:r/>
          </w:p>
        </w:tc>
      </w:tr>
      <w:tr>
        <w:trPr>
          <w:trHeight w:val="1316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Первый заместитель начальника</w:t>
            </w:r>
            <w:r>
              <w:rPr>
                <w:b/>
                <w:bCs/>
                <w:sz w:val="28"/>
                <w:szCs w:val="28"/>
                <w:highlight w:val="white"/>
              </w:rPr>
              <w:br/>
              <w:t xml:space="preserve">бюджетного управления</w:t>
            </w:r>
            <w:r/>
          </w:p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highlight w:val="yellow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 xml:space="preserve">Т.А. </w:t>
            </w:r>
            <w:r>
              <w:rPr>
                <w:b/>
                <w:bCs/>
                <w:sz w:val="28"/>
                <w:szCs w:val="28"/>
              </w:rPr>
              <w:t xml:space="preserve">Коченюк</w:t>
            </w:r>
            <w:r/>
          </w:p>
        </w:tc>
      </w:tr>
      <w:tr>
        <w:trPr>
          <w:trHeight w:val="997"/>
        </w:trPr>
        <w:tc>
          <w:tcPr>
            <w:tcW w:w="7470" w:type="dxa"/>
            <w:textDirection w:val="lrTb"/>
            <w:noWrap w:val="false"/>
          </w:tcPr>
          <w:p>
            <w:pPr>
              <w:jc w:val="both"/>
              <w:shd w:val="clear" w:fill="FFFFFF" w:color="auto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Начальник управления </w:t>
            </w:r>
            <w:r/>
          </w:p>
          <w:p>
            <w:pPr>
              <w:jc w:val="both"/>
              <w:shd w:val="clear" w:fill="FFFFFF" w:color="auto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бюджетного учета и отчетности, </w:t>
            </w:r>
            <w:r/>
          </w:p>
          <w:p>
            <w:pPr>
              <w:jc w:val="both"/>
              <w:shd w:val="clear" w:fill="FFFFFF" w:color="auto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главный бухгалтер министерства </w:t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финансов Саратовской области</w:t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/>
          </w:p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А.С. Яшков</w:t>
            </w:r>
            <w:r/>
          </w:p>
        </w:tc>
      </w:tr>
    </w:tbl>
    <w:p>
      <w:pPr>
        <w:rPr>
          <w:b/>
          <w:bCs/>
          <w:sz w:val="28"/>
          <w:szCs w:val="28"/>
          <w:highlight w:val="yellow"/>
        </w:rPr>
      </w:pPr>
      <w:r>
        <w:rPr>
          <w:rFonts w:eastAsiaTheme="minorHAnsi"/>
          <w:b/>
          <w:bCs/>
          <w:sz w:val="28"/>
          <w:szCs w:val="28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567"/>
        <w:jc w:val="both"/>
        <w:widowControl w:val="off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rFonts w:eastAsiaTheme="minorHAnsi"/>
        </w:rPr>
      </w:r>
      <w:r>
        <w:rPr>
          <w:rFonts w:eastAsiaTheme="minorHAnsi"/>
        </w:rPr>
      </w:r>
    </w:p>
    <w:sectPr>
      <w:headerReference w:type="default" r:id="rId8"/>
      <w:headerReference w:type="even" r:id="rId9"/>
      <w:footnotePr/>
      <w:endnotePr/>
      <w:type w:val="nextPage"/>
      <w:pgSz w:w="11907" w:h="16840" w:orient="portrait"/>
      <w:pgMar w:top="851" w:right="680" w:bottom="567" w:left="1361" w:header="454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consultant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70728670"/>
      <w:docPartObj>
        <w:docPartGallery w:val="Page Numbers (Top of Page)"/>
        <w:docPartUnique w:val="true"/>
      </w:docPartObj>
      <w:rPr/>
    </w:sdtPr>
    <w:sdtContent>
      <w:p>
        <w:pPr>
          <w:pStyle w:val="87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rPr>
        <w:rStyle w:val="886"/>
      </w:rPr>
      <w:framePr w:wrap="around" w:vAnchor="text" w:hAnchor="margin" w:xAlign="right" w:y="1"/>
    </w:pPr>
    <w:r>
      <w:rPr>
        <w:rStyle w:val="886"/>
      </w:rPr>
      <w:fldChar w:fldCharType="begin"/>
    </w:r>
    <w:r>
      <w:rPr>
        <w:rStyle w:val="886"/>
      </w:rPr>
      <w:instrText xml:space="preserve">PAGE  </w:instrText>
    </w:r>
    <w:r>
      <w:rPr>
        <w:rStyle w:val="886"/>
      </w:rPr>
      <w:fldChar w:fldCharType="separate"/>
    </w:r>
    <w:r>
      <w:rPr>
        <w:rStyle w:val="886"/>
      </w:rPr>
      <w:t xml:space="preserve">10</w:t>
    </w:r>
    <w:r>
      <w:rPr>
        <w:rStyle w:val="886"/>
      </w:rPr>
      <w:fldChar w:fldCharType="end"/>
    </w:r>
    <w:r/>
  </w:p>
  <w:p>
    <w:pPr>
      <w:pStyle w:val="877"/>
      <w:ind w:right="360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 w:default="1">
    <w:name w:val="Normal"/>
    <w:qFormat/>
    <w:rPr>
      <w:sz w:val="26"/>
    </w:rPr>
  </w:style>
  <w:style w:type="paragraph" w:styleId="673">
    <w:name w:val="Heading 1"/>
    <w:basedOn w:val="672"/>
    <w:next w:val="672"/>
    <w:link w:val="701"/>
    <w:qFormat/>
    <w:rPr>
      <w:b/>
    </w:rPr>
    <w:pPr>
      <w:keepNext/>
      <w:outlineLvl w:val="0"/>
    </w:pPr>
  </w:style>
  <w:style w:type="paragraph" w:styleId="674">
    <w:name w:val="Heading 2"/>
    <w:basedOn w:val="672"/>
    <w:next w:val="672"/>
    <w:link w:val="702"/>
    <w:qFormat/>
    <w:rPr>
      <w:b/>
      <w:bCs/>
    </w:rPr>
    <w:pPr>
      <w:jc w:val="both"/>
      <w:keepNext/>
      <w:outlineLvl w:val="1"/>
    </w:pPr>
  </w:style>
  <w:style w:type="paragraph" w:styleId="675">
    <w:name w:val="Heading 3"/>
    <w:basedOn w:val="672"/>
    <w:next w:val="672"/>
    <w:link w:val="70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676">
    <w:name w:val="Heading 4"/>
    <w:basedOn w:val="672"/>
    <w:next w:val="672"/>
    <w:link w:val="70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677">
    <w:name w:val="Heading 5"/>
    <w:basedOn w:val="672"/>
    <w:next w:val="672"/>
    <w:link w:val="70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678">
    <w:name w:val="Heading 6"/>
    <w:basedOn w:val="672"/>
    <w:next w:val="672"/>
    <w:link w:val="70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79">
    <w:name w:val="Heading 7"/>
    <w:basedOn w:val="672"/>
    <w:next w:val="672"/>
    <w:link w:val="70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80">
    <w:name w:val="Heading 8"/>
    <w:basedOn w:val="672"/>
    <w:next w:val="672"/>
    <w:link w:val="70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81">
    <w:name w:val="Heading 9"/>
    <w:basedOn w:val="672"/>
    <w:next w:val="672"/>
    <w:link w:val="70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Heading 1 Char"/>
    <w:basedOn w:val="682"/>
    <w:uiPriority w:val="9"/>
    <w:rPr>
      <w:rFonts w:ascii="Arial" w:hAnsi="Arial" w:cs="Arial" w:eastAsia="Arial"/>
      <w:sz w:val="40"/>
      <w:szCs w:val="40"/>
    </w:rPr>
  </w:style>
  <w:style w:type="character" w:styleId="686" w:customStyle="1">
    <w:name w:val="Heading 2 Char"/>
    <w:basedOn w:val="682"/>
    <w:uiPriority w:val="9"/>
    <w:rPr>
      <w:rFonts w:ascii="Arial" w:hAnsi="Arial" w:cs="Arial" w:eastAsia="Arial"/>
      <w:sz w:val="34"/>
    </w:rPr>
  </w:style>
  <w:style w:type="character" w:styleId="687" w:customStyle="1">
    <w:name w:val="Heading 3 Char"/>
    <w:basedOn w:val="682"/>
    <w:uiPriority w:val="9"/>
    <w:rPr>
      <w:rFonts w:ascii="Arial" w:hAnsi="Arial" w:cs="Arial" w:eastAsia="Arial"/>
      <w:sz w:val="30"/>
      <w:szCs w:val="30"/>
    </w:rPr>
  </w:style>
  <w:style w:type="character" w:styleId="688" w:customStyle="1">
    <w:name w:val="Heading 4 Char"/>
    <w:basedOn w:val="682"/>
    <w:uiPriority w:val="9"/>
    <w:rPr>
      <w:rFonts w:ascii="Arial" w:hAnsi="Arial" w:cs="Arial" w:eastAsia="Arial"/>
      <w:b/>
      <w:bCs/>
      <w:sz w:val="26"/>
      <w:szCs w:val="26"/>
    </w:rPr>
  </w:style>
  <w:style w:type="character" w:styleId="689" w:customStyle="1">
    <w:name w:val="Heading 5 Char"/>
    <w:basedOn w:val="682"/>
    <w:uiPriority w:val="9"/>
    <w:rPr>
      <w:rFonts w:ascii="Arial" w:hAnsi="Arial" w:cs="Arial" w:eastAsia="Arial"/>
      <w:b/>
      <w:bCs/>
      <w:sz w:val="24"/>
      <w:szCs w:val="24"/>
    </w:rPr>
  </w:style>
  <w:style w:type="character" w:styleId="690" w:customStyle="1">
    <w:name w:val="Heading 6 Char"/>
    <w:basedOn w:val="682"/>
    <w:uiPriority w:val="9"/>
    <w:rPr>
      <w:rFonts w:ascii="Arial" w:hAnsi="Arial" w:cs="Arial" w:eastAsia="Arial"/>
      <w:b/>
      <w:bCs/>
      <w:sz w:val="22"/>
      <w:szCs w:val="22"/>
    </w:rPr>
  </w:style>
  <w:style w:type="character" w:styleId="691" w:customStyle="1">
    <w:name w:val="Heading 7 Char"/>
    <w:basedOn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2" w:customStyle="1">
    <w:name w:val="Heading 8 Char"/>
    <w:basedOn w:val="682"/>
    <w:uiPriority w:val="9"/>
    <w:rPr>
      <w:rFonts w:ascii="Arial" w:hAnsi="Arial" w:cs="Arial" w:eastAsia="Arial"/>
      <w:i/>
      <w:iCs/>
      <w:sz w:val="22"/>
      <w:szCs w:val="22"/>
    </w:rPr>
  </w:style>
  <w:style w:type="character" w:styleId="693" w:customStyle="1">
    <w:name w:val="Heading 9 Char"/>
    <w:basedOn w:val="682"/>
    <w:uiPriority w:val="9"/>
    <w:rPr>
      <w:rFonts w:ascii="Arial" w:hAnsi="Arial" w:cs="Arial" w:eastAsia="Arial"/>
      <w:i/>
      <w:iCs/>
      <w:sz w:val="21"/>
      <w:szCs w:val="21"/>
    </w:rPr>
  </w:style>
  <w:style w:type="character" w:styleId="694" w:customStyle="1">
    <w:name w:val="Title Char"/>
    <w:basedOn w:val="682"/>
    <w:uiPriority w:val="10"/>
    <w:rPr>
      <w:sz w:val="48"/>
      <w:szCs w:val="48"/>
    </w:rPr>
  </w:style>
  <w:style w:type="character" w:styleId="695" w:customStyle="1">
    <w:name w:val="Subtitle Char"/>
    <w:basedOn w:val="682"/>
    <w:uiPriority w:val="11"/>
    <w:rPr>
      <w:sz w:val="24"/>
      <w:szCs w:val="24"/>
    </w:rPr>
  </w:style>
  <w:style w:type="character" w:styleId="696" w:customStyle="1">
    <w:name w:val="Quote Char"/>
    <w:uiPriority w:val="29"/>
    <w:rPr>
      <w:i/>
    </w:rPr>
  </w:style>
  <w:style w:type="character" w:styleId="697" w:customStyle="1">
    <w:name w:val="Intense Quote Char"/>
    <w:uiPriority w:val="30"/>
    <w:rPr>
      <w:i/>
    </w:rPr>
  </w:style>
  <w:style w:type="character" w:styleId="698" w:customStyle="1">
    <w:name w:val="Caption Char"/>
    <w:uiPriority w:val="99"/>
  </w:style>
  <w:style w:type="character" w:styleId="699" w:customStyle="1">
    <w:name w:val="Footnote Text Char"/>
    <w:uiPriority w:val="99"/>
    <w:rPr>
      <w:sz w:val="18"/>
    </w:rPr>
  </w:style>
  <w:style w:type="character" w:styleId="700" w:customStyle="1">
    <w:name w:val="Endnote Text Char"/>
    <w:uiPriority w:val="99"/>
    <w:rPr>
      <w:sz w:val="20"/>
    </w:rPr>
  </w:style>
  <w:style w:type="character" w:styleId="701" w:customStyle="1">
    <w:name w:val="Заголовок 1 Знак"/>
    <w:basedOn w:val="682"/>
    <w:link w:val="673"/>
    <w:uiPriority w:val="9"/>
    <w:rPr>
      <w:rFonts w:ascii="Arial" w:hAnsi="Arial" w:cs="Arial" w:eastAsia="Arial"/>
      <w:sz w:val="40"/>
      <w:szCs w:val="40"/>
    </w:rPr>
  </w:style>
  <w:style w:type="character" w:styleId="702" w:customStyle="1">
    <w:name w:val="Заголовок 2 Знак"/>
    <w:basedOn w:val="682"/>
    <w:link w:val="674"/>
    <w:uiPriority w:val="9"/>
    <w:rPr>
      <w:rFonts w:ascii="Arial" w:hAnsi="Arial" w:cs="Arial" w:eastAsia="Arial"/>
      <w:sz w:val="34"/>
    </w:rPr>
  </w:style>
  <w:style w:type="character" w:styleId="703" w:customStyle="1">
    <w:name w:val="Заголовок 3 Знак"/>
    <w:basedOn w:val="682"/>
    <w:link w:val="675"/>
    <w:uiPriority w:val="9"/>
    <w:rPr>
      <w:rFonts w:ascii="Arial" w:hAnsi="Arial" w:cs="Arial" w:eastAsia="Arial"/>
      <w:sz w:val="30"/>
      <w:szCs w:val="30"/>
    </w:rPr>
  </w:style>
  <w:style w:type="character" w:styleId="704" w:customStyle="1">
    <w:name w:val="Заголовок 4 Знак"/>
    <w:basedOn w:val="682"/>
    <w:link w:val="676"/>
    <w:uiPriority w:val="9"/>
    <w:rPr>
      <w:rFonts w:ascii="Arial" w:hAnsi="Arial" w:cs="Arial" w:eastAsia="Arial"/>
      <w:b/>
      <w:bCs/>
      <w:sz w:val="26"/>
      <w:szCs w:val="26"/>
    </w:rPr>
  </w:style>
  <w:style w:type="character" w:styleId="705" w:customStyle="1">
    <w:name w:val="Заголовок 5 Знак"/>
    <w:basedOn w:val="682"/>
    <w:link w:val="677"/>
    <w:uiPriority w:val="9"/>
    <w:rPr>
      <w:rFonts w:ascii="Arial" w:hAnsi="Arial" w:cs="Arial" w:eastAsia="Arial"/>
      <w:b/>
      <w:bCs/>
      <w:sz w:val="24"/>
      <w:szCs w:val="24"/>
    </w:rPr>
  </w:style>
  <w:style w:type="character" w:styleId="706" w:customStyle="1">
    <w:name w:val="Заголовок 6 Знак"/>
    <w:basedOn w:val="682"/>
    <w:link w:val="678"/>
    <w:uiPriority w:val="9"/>
    <w:rPr>
      <w:rFonts w:ascii="Arial" w:hAnsi="Arial" w:cs="Arial" w:eastAsia="Arial"/>
      <w:b/>
      <w:bCs/>
      <w:sz w:val="22"/>
      <w:szCs w:val="22"/>
    </w:rPr>
  </w:style>
  <w:style w:type="character" w:styleId="707" w:customStyle="1">
    <w:name w:val="Заголовок 7 Знак"/>
    <w:basedOn w:val="682"/>
    <w:link w:val="67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08" w:customStyle="1">
    <w:name w:val="Заголовок 8 Знак"/>
    <w:basedOn w:val="682"/>
    <w:link w:val="680"/>
    <w:uiPriority w:val="9"/>
    <w:rPr>
      <w:rFonts w:ascii="Arial" w:hAnsi="Arial" w:cs="Arial" w:eastAsia="Arial"/>
      <w:i/>
      <w:iCs/>
      <w:sz w:val="22"/>
      <w:szCs w:val="22"/>
    </w:rPr>
  </w:style>
  <w:style w:type="character" w:styleId="709" w:customStyle="1">
    <w:name w:val="Заголовок 9 Знак"/>
    <w:basedOn w:val="682"/>
    <w:link w:val="681"/>
    <w:uiPriority w:val="9"/>
    <w:rPr>
      <w:rFonts w:ascii="Arial" w:hAnsi="Arial" w:cs="Arial" w:eastAsia="Arial"/>
      <w:i/>
      <w:iCs/>
      <w:sz w:val="21"/>
      <w:szCs w:val="21"/>
    </w:rPr>
  </w:style>
  <w:style w:type="paragraph" w:styleId="710">
    <w:name w:val="List Paragraph"/>
    <w:basedOn w:val="672"/>
    <w:qFormat/>
    <w:uiPriority w:val="34"/>
    <w:pPr>
      <w:contextualSpacing w:val="true"/>
      <w:ind w:left="720"/>
    </w:pPr>
  </w:style>
  <w:style w:type="paragraph" w:styleId="711">
    <w:name w:val="No Spacing"/>
    <w:qFormat/>
    <w:uiPriority w:val="1"/>
  </w:style>
  <w:style w:type="character" w:styleId="712" w:customStyle="1">
    <w:name w:val="Название Знак"/>
    <w:basedOn w:val="682"/>
    <w:link w:val="881"/>
    <w:uiPriority w:val="10"/>
    <w:rPr>
      <w:sz w:val="48"/>
      <w:szCs w:val="48"/>
    </w:rPr>
  </w:style>
  <w:style w:type="paragraph" w:styleId="713">
    <w:name w:val="Subtitle"/>
    <w:basedOn w:val="672"/>
    <w:next w:val="672"/>
    <w:link w:val="714"/>
    <w:qFormat/>
    <w:uiPriority w:val="11"/>
    <w:rPr>
      <w:sz w:val="24"/>
      <w:szCs w:val="24"/>
    </w:rPr>
    <w:pPr>
      <w:spacing w:after="200" w:before="200"/>
    </w:pPr>
  </w:style>
  <w:style w:type="character" w:styleId="714" w:customStyle="1">
    <w:name w:val="Подзаголовок Знак"/>
    <w:basedOn w:val="682"/>
    <w:link w:val="713"/>
    <w:uiPriority w:val="11"/>
    <w:rPr>
      <w:sz w:val="24"/>
      <w:szCs w:val="24"/>
    </w:rPr>
  </w:style>
  <w:style w:type="paragraph" w:styleId="715">
    <w:name w:val="Quote"/>
    <w:basedOn w:val="672"/>
    <w:next w:val="672"/>
    <w:link w:val="716"/>
    <w:qFormat/>
    <w:uiPriority w:val="29"/>
    <w:rPr>
      <w:i/>
    </w:rPr>
    <w:pPr>
      <w:ind w:left="720" w:right="720"/>
    </w:p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72"/>
    <w:next w:val="672"/>
    <w:link w:val="718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8" w:customStyle="1">
    <w:name w:val="Выделенная цитата Знак"/>
    <w:link w:val="717"/>
    <w:uiPriority w:val="30"/>
    <w:rPr>
      <w:i/>
    </w:rPr>
  </w:style>
  <w:style w:type="character" w:styleId="719" w:customStyle="1">
    <w:name w:val="Header Char"/>
    <w:basedOn w:val="682"/>
    <w:uiPriority w:val="99"/>
  </w:style>
  <w:style w:type="character" w:styleId="720" w:customStyle="1">
    <w:name w:val="Footer Char"/>
    <w:basedOn w:val="682"/>
    <w:uiPriority w:val="99"/>
  </w:style>
  <w:style w:type="paragraph" w:styleId="721">
    <w:name w:val="Caption"/>
    <w:basedOn w:val="672"/>
    <w:next w:val="67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22" w:customStyle="1">
    <w:name w:val="Нижний колонтитул Знак"/>
    <w:link w:val="878"/>
    <w:uiPriority w:val="99"/>
  </w:style>
  <w:style w:type="table" w:styleId="723" w:customStyle="1">
    <w:name w:val="Table Grid Light"/>
    <w:basedOn w:val="683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83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83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83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83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83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8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83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83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83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8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2 - Accent 1"/>
    <w:basedOn w:val="683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2 - Accent 2"/>
    <w:basedOn w:val="683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Grid Table 2 - Accent 3"/>
    <w:basedOn w:val="68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0" w:customStyle="1">
    <w:name w:val="Grid Table 2 - Accent 4"/>
    <w:basedOn w:val="683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Grid Table 2 - Accent 5"/>
    <w:basedOn w:val="683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Grid Table 2 - Accent 6"/>
    <w:basedOn w:val="683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Grid Table 3"/>
    <w:basedOn w:val="68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Grid Table 3 - Accent 1"/>
    <w:basedOn w:val="683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Grid Table 3 - Accent 2"/>
    <w:basedOn w:val="683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Grid Table 3 - Accent 3"/>
    <w:basedOn w:val="68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7" w:customStyle="1">
    <w:name w:val="Grid Table 3 - Accent 4"/>
    <w:basedOn w:val="683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8" w:customStyle="1">
    <w:name w:val="Grid Table 3 - Accent 5"/>
    <w:basedOn w:val="683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Grid Table 3 - Accent 6"/>
    <w:basedOn w:val="683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4"/>
    <w:basedOn w:val="683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1" w:customStyle="1">
    <w:name w:val="Grid Table 4 - Accent 1"/>
    <w:basedOn w:val="683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auto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52" w:customStyle="1">
    <w:name w:val="Grid Table 4 - Accent 2"/>
    <w:basedOn w:val="683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53" w:customStyle="1">
    <w:name w:val="Grid Table 4 - Accent 3"/>
    <w:basedOn w:val="68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auto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54" w:customStyle="1">
    <w:name w:val="Grid Table 4 - Accent 4"/>
    <w:basedOn w:val="683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55" w:customStyle="1">
    <w:name w:val="Grid Table 4 - Accent 5"/>
    <w:basedOn w:val="683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56" w:customStyle="1">
    <w:name w:val="Grid Table 4 - Accent 6"/>
    <w:basedOn w:val="683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57" w:customStyle="1">
    <w:name w:val="Grid Table 5 Dark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758" w:customStyle="1">
    <w:name w:val="Grid Table 5 Dark- Accent 1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auto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uto" w:themeColor="accent1" w:themeTint="75"/>
      </w:tcPr>
    </w:tblStylePr>
    <w:tblStylePr w:type="band1Vert">
      <w:tcPr>
        <w:shd w:val="clear" w:color="AEC4E0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auto" w:themeColor="accent1"/>
        <w:tcBorders>
          <w:top w:val="single" w:color="FFFFFF" w:sz="4" w:space="0" w:themeColor="light1"/>
        </w:tcBorders>
      </w:tcPr>
    </w:tblStylePr>
  </w:style>
  <w:style w:type="table" w:styleId="759" w:customStyle="1">
    <w:name w:val="Grid Table 5 Dark - Accent 2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auto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auto" w:themeColor="accent2" w:themeTint="75"/>
      </w:tcPr>
    </w:tblStylePr>
    <w:tblStylePr w:type="band1Vert">
      <w:tcPr>
        <w:shd w:val="clear" w:color="E2AEAD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auto" w:themeColor="accent2"/>
        <w:tcBorders>
          <w:top w:val="single" w:color="FFFFFF" w:sz="4" w:space="0" w:themeColor="light1"/>
        </w:tcBorders>
      </w:tcPr>
    </w:tblStylePr>
  </w:style>
  <w:style w:type="table" w:styleId="760" w:customStyle="1">
    <w:name w:val="Grid Table 5 Dark - Accent 3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auto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auto" w:themeColor="accent3" w:themeTint="75"/>
      </w:tcPr>
    </w:tblStylePr>
    <w:tblStylePr w:type="band1Vert">
      <w:tcPr>
        <w:shd w:val="clear" w:color="D0DFB2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auto" w:themeColor="accent3"/>
        <w:tcBorders>
          <w:top w:val="single" w:color="FFFFFF" w:sz="4" w:space="0" w:themeColor="light1"/>
        </w:tcBorders>
      </w:tcPr>
    </w:tblStylePr>
  </w:style>
  <w:style w:type="table" w:styleId="761" w:customStyle="1">
    <w:name w:val="Grid Table 5 Dark- Accent 4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auto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auto" w:themeColor="accent4" w:themeTint="75"/>
      </w:tcPr>
    </w:tblStylePr>
    <w:tblStylePr w:type="band1Vert">
      <w:tcPr>
        <w:shd w:val="clear" w:color="C4B7D4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auto" w:themeColor="accent4"/>
        <w:tcBorders>
          <w:top w:val="single" w:color="FFFFFF" w:sz="4" w:space="0" w:themeColor="light1"/>
        </w:tcBorders>
      </w:tcPr>
    </w:tblStylePr>
  </w:style>
  <w:style w:type="table" w:styleId="762" w:customStyle="1">
    <w:name w:val="Grid Table 5 Dark - Accent 5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auto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uto" w:themeColor="accent5" w:themeTint="75"/>
      </w:tcPr>
    </w:tblStylePr>
    <w:tblStylePr w:type="band1Vert">
      <w:tcPr>
        <w:shd w:val="clear" w:color="ACD8E4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auto" w:themeColor="accent5"/>
        <w:tcBorders>
          <w:top w:val="single" w:color="FFFFFF" w:sz="4" w:space="0" w:themeColor="light1"/>
        </w:tcBorders>
      </w:tcPr>
    </w:tblStylePr>
  </w:style>
  <w:style w:type="table" w:styleId="763" w:customStyle="1">
    <w:name w:val="Grid Table 5 Dark - Accent 6"/>
    <w:basedOn w:val="68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auto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auto" w:themeColor="accent6" w:themeTint="75"/>
      </w:tcPr>
    </w:tblStylePr>
    <w:tblStylePr w:type="band1Vert">
      <w:tcPr>
        <w:shd w:val="clear" w:color="FBCEAA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auto" w:themeColor="accent6"/>
        <w:tcBorders>
          <w:top w:val="single" w:color="FFFFFF" w:sz="4" w:space="0" w:themeColor="light1"/>
        </w:tcBorders>
      </w:tcPr>
    </w:tblStylePr>
  </w:style>
  <w:style w:type="table" w:styleId="764" w:customStyle="1">
    <w:name w:val="Grid Table 6 Colorful"/>
    <w:basedOn w:val="683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83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83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8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83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83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83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7 Colorful"/>
    <w:basedOn w:val="683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72" w:customStyle="1">
    <w:name w:val="Grid Table 7 Colorful - Accent 1"/>
    <w:basedOn w:val="683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auto" w:themeColor="accent1" w:themeTint="34"/>
      </w:tcPr>
    </w:tblStylePr>
    <w:tblStylePr w:type="band1Vert">
      <w:tcPr>
        <w:shd w:val="clear" w:color="DAE5F1" w:fill="auto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73" w:customStyle="1">
    <w:name w:val="Grid Table 7 Colorful - Accent 2"/>
    <w:basedOn w:val="683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auto" w:themeColor="accent2" w:themeTint="32"/>
      </w:tcPr>
    </w:tblStylePr>
    <w:tblStylePr w:type="band1Vert">
      <w:tcPr>
        <w:shd w:val="clear" w:color="F2DCDC" w:fill="auto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74" w:customStyle="1">
    <w:name w:val="Grid Table 7 Colorful - Accent 3"/>
    <w:basedOn w:val="68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auto" w:themeColor="accent3" w:themeTint="34"/>
      </w:tcPr>
    </w:tblStylePr>
    <w:tblStylePr w:type="band1Vert">
      <w:tcPr>
        <w:shd w:val="clear" w:color="EAF1DC" w:fill="auto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75" w:customStyle="1">
    <w:name w:val="Grid Table 7 Colorful - Accent 4"/>
    <w:basedOn w:val="683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auto" w:themeColor="accent4" w:themeTint="34"/>
      </w:tcPr>
    </w:tblStylePr>
    <w:tblStylePr w:type="band1Vert">
      <w:tcPr>
        <w:shd w:val="clear" w:color="E5DFEC" w:fill="auto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76" w:customStyle="1">
    <w:name w:val="Grid Table 7 Colorful - Accent 5"/>
    <w:basedOn w:val="683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auto" w:themeColor="accent5" w:themeTint="34"/>
      </w:tcPr>
    </w:tblStylePr>
    <w:tblStylePr w:type="band1Vert">
      <w:tcPr>
        <w:shd w:val="clear" w:color="DAEEF3" w:fill="auto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7" w:customStyle="1">
    <w:name w:val="Grid Table 7 Colorful - Accent 6"/>
    <w:basedOn w:val="683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auto" w:themeColor="accent6" w:themeTint="34"/>
      </w:tcPr>
    </w:tblStylePr>
    <w:tblStylePr w:type="band1Vert">
      <w:tcPr>
        <w:shd w:val="clear" w:color="FDE9D8" w:fill="auto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8" w:customStyle="1">
    <w:name w:val="List Table 1 Light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9" w:customStyle="1">
    <w:name w:val="List Table 1 Light - Accent 1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80" w:customStyle="1">
    <w:name w:val="List Table 1 Light - Accent 2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81" w:customStyle="1">
    <w:name w:val="List Table 1 Light - Accent 3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82" w:customStyle="1">
    <w:name w:val="List Table 1 Light - Accent 4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83" w:customStyle="1">
    <w:name w:val="List Table 1 Light - Accent 5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List Table 1 Light - Accent 6"/>
    <w:basedOn w:val="68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List Table 2"/>
    <w:basedOn w:val="683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86" w:customStyle="1">
    <w:name w:val="List Table 2 - Accent 1"/>
    <w:basedOn w:val="683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87" w:customStyle="1">
    <w:name w:val="List Table 2 - Accent 2"/>
    <w:basedOn w:val="683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88" w:customStyle="1">
    <w:name w:val="List Table 2 - Accent 3"/>
    <w:basedOn w:val="68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89" w:customStyle="1">
    <w:name w:val="List Table 2 - Accent 4"/>
    <w:basedOn w:val="683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90" w:customStyle="1">
    <w:name w:val="List Table 2 - Accent 5"/>
    <w:basedOn w:val="683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91" w:customStyle="1">
    <w:name w:val="List Table 2 - Accent 6"/>
    <w:basedOn w:val="683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92" w:customStyle="1">
    <w:name w:val="List Table 3"/>
    <w:basedOn w:val="68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83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83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8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83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83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83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8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83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83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8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83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83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83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83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83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auto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auto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83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auto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auto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8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auto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auto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83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auto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auto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83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auto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auto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83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auto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auto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83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14" w:customStyle="1">
    <w:name w:val="List Table 6 Colorful - Accent 1"/>
    <w:basedOn w:val="683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15" w:customStyle="1">
    <w:name w:val="List Table 6 Colorful - Accent 2"/>
    <w:basedOn w:val="683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16" w:customStyle="1">
    <w:name w:val="List Table 6 Colorful - Accent 3"/>
    <w:basedOn w:val="68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17" w:customStyle="1">
    <w:name w:val="List Table 6 Colorful - Accent 4"/>
    <w:basedOn w:val="683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18" w:customStyle="1">
    <w:name w:val="List Table 6 Colorful - Accent 5"/>
    <w:basedOn w:val="683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19" w:customStyle="1">
    <w:name w:val="List Table 6 Colorful - Accent 6"/>
    <w:basedOn w:val="683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20" w:customStyle="1">
    <w:name w:val="List Table 7 Colorful"/>
    <w:basedOn w:val="683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21" w:customStyle="1">
    <w:name w:val="List Table 7 Colorful - Accent 1"/>
    <w:basedOn w:val="683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auto" w:themeColor="accent1" w:themeTint="40"/>
      </w:tcPr>
    </w:tblStylePr>
    <w:tblStylePr w:type="band1Vert">
      <w:tcPr>
        <w:shd w:val="clear" w:color="D2DFEE" w:fill="auto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22" w:customStyle="1">
    <w:name w:val="List Table 7 Colorful - Accent 2"/>
    <w:basedOn w:val="683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auto" w:themeColor="accent2" w:themeTint="40"/>
      </w:tcPr>
    </w:tblStylePr>
    <w:tblStylePr w:type="band1Vert">
      <w:tcPr>
        <w:shd w:val="clear" w:color="EFD2D2" w:fill="auto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23" w:customStyle="1">
    <w:name w:val="List Table 7 Colorful - Accent 3"/>
    <w:basedOn w:val="68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auto" w:themeColor="accent3" w:themeTint="40"/>
      </w:tcPr>
    </w:tblStylePr>
    <w:tblStylePr w:type="band1Vert">
      <w:tcPr>
        <w:shd w:val="clear" w:color="E5EED5" w:fill="auto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24" w:customStyle="1">
    <w:name w:val="List Table 7 Colorful - Accent 4"/>
    <w:basedOn w:val="683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auto" w:themeColor="accent4" w:themeTint="40"/>
      </w:tcPr>
    </w:tblStylePr>
    <w:tblStylePr w:type="band1Vert">
      <w:tcPr>
        <w:shd w:val="clear" w:color="DFD8E7" w:fill="auto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25" w:customStyle="1">
    <w:name w:val="List Table 7 Colorful - Accent 5"/>
    <w:basedOn w:val="683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auto" w:themeColor="accent5" w:themeTint="40"/>
      </w:tcPr>
    </w:tblStylePr>
    <w:tblStylePr w:type="band1Vert">
      <w:tcPr>
        <w:shd w:val="clear" w:color="D1EAF0" w:fill="auto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26" w:customStyle="1">
    <w:name w:val="List Table 7 Colorful - Accent 6"/>
    <w:basedOn w:val="683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auto" w:themeColor="accent6" w:themeTint="40"/>
      </w:tcPr>
    </w:tblStylePr>
    <w:tblStylePr w:type="band1Vert">
      <w:tcPr>
        <w:shd w:val="clear" w:color="FDE4D0" w:fill="auto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27" w:customStyle="1">
    <w:name w:val="Lined - Accent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28" w:customStyle="1">
    <w:name w:val="Lined - Accent 1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829" w:customStyle="1">
    <w:name w:val="Lined - Accent 2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830" w:customStyle="1">
    <w:name w:val="Lined - Accent 3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831" w:customStyle="1">
    <w:name w:val="Lined - Accent 4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832" w:customStyle="1">
    <w:name w:val="Lined - Accent 5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833" w:customStyle="1">
    <w:name w:val="Lined - Accent 6"/>
    <w:basedOn w:val="68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834" w:customStyle="1">
    <w:name w:val="Bordered &amp; Lined - Accent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835" w:customStyle="1">
    <w:name w:val="Bordered &amp; Lined - Accent 1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auto" w:themeColor="accent1" w:themeTint="EA"/>
      </w:tcPr>
    </w:tblStylePr>
  </w:style>
  <w:style w:type="table" w:styleId="836" w:customStyle="1">
    <w:name w:val="Bordered &amp; Lined - Accent 2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auto" w:themeColor="accent2" w:themeTint="97"/>
      </w:tcPr>
    </w:tblStylePr>
  </w:style>
  <w:style w:type="table" w:styleId="837" w:customStyle="1">
    <w:name w:val="Bordered &amp; Lined - Accent 3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auto" w:themeColor="accent3" w:themeTint="FE"/>
      </w:tcPr>
    </w:tblStylePr>
  </w:style>
  <w:style w:type="table" w:styleId="838" w:customStyle="1">
    <w:name w:val="Bordered &amp; Lined - Accent 4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auto" w:themeColor="accent4" w:themeTint="9A"/>
      </w:tcPr>
    </w:tblStylePr>
  </w:style>
  <w:style w:type="table" w:styleId="839" w:customStyle="1">
    <w:name w:val="Bordered &amp; Lined - Accent 5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auto" w:themeColor="accent5"/>
      </w:tcPr>
    </w:tblStylePr>
  </w:style>
  <w:style w:type="table" w:styleId="840" w:customStyle="1">
    <w:name w:val="Bordered &amp; Lined - Accent 6"/>
    <w:basedOn w:val="68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auto" w:themeColor="accent6"/>
      </w:tcPr>
    </w:tblStylePr>
  </w:style>
  <w:style w:type="table" w:styleId="841" w:customStyle="1">
    <w:name w:val="Bordered"/>
    <w:basedOn w:val="683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42" w:customStyle="1">
    <w:name w:val="Bordered - Accent 1"/>
    <w:basedOn w:val="683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43" w:customStyle="1">
    <w:name w:val="Bordered - Accent 2"/>
    <w:basedOn w:val="683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44" w:customStyle="1">
    <w:name w:val="Bordered - Accent 3"/>
    <w:basedOn w:val="68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45" w:customStyle="1">
    <w:name w:val="Bordered - Accent 4"/>
    <w:basedOn w:val="683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46" w:customStyle="1">
    <w:name w:val="Bordered - Accent 5"/>
    <w:basedOn w:val="683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47" w:customStyle="1">
    <w:name w:val="Bordered - Accent 6"/>
    <w:basedOn w:val="683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paragraph" w:styleId="848">
    <w:name w:val="footnote text"/>
    <w:basedOn w:val="672"/>
    <w:link w:val="849"/>
    <w:uiPriority w:val="99"/>
    <w:semiHidden/>
    <w:unhideWhenUsed/>
    <w:rPr>
      <w:sz w:val="18"/>
    </w:rPr>
    <w:pPr>
      <w:spacing w:after="40"/>
    </w:p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82"/>
    <w:uiPriority w:val="99"/>
    <w:unhideWhenUsed/>
    <w:rPr>
      <w:vertAlign w:val="superscript"/>
    </w:rPr>
  </w:style>
  <w:style w:type="paragraph" w:styleId="851">
    <w:name w:val="endnote text"/>
    <w:basedOn w:val="672"/>
    <w:link w:val="852"/>
    <w:uiPriority w:val="99"/>
    <w:semiHidden/>
    <w:unhideWhenUsed/>
    <w:rPr>
      <w:sz w:val="20"/>
    </w:rPr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82"/>
    <w:uiPriority w:val="99"/>
    <w:semiHidden/>
    <w:unhideWhenUsed/>
    <w:rPr>
      <w:vertAlign w:val="superscript"/>
    </w:rPr>
  </w:style>
  <w:style w:type="paragraph" w:styleId="854">
    <w:name w:val="toc 1"/>
    <w:basedOn w:val="672"/>
    <w:next w:val="672"/>
    <w:uiPriority w:val="39"/>
    <w:unhideWhenUsed/>
    <w:pPr>
      <w:spacing w:after="57"/>
    </w:pPr>
  </w:style>
  <w:style w:type="paragraph" w:styleId="855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56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57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58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59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60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61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62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72"/>
    <w:next w:val="672"/>
    <w:uiPriority w:val="99"/>
    <w:unhideWhenUsed/>
  </w:style>
  <w:style w:type="paragraph" w:styleId="865" w:customStyle="1">
    <w:name w:val="заголовок 1"/>
    <w:basedOn w:val="672"/>
    <w:next w:val="872"/>
    <w:rPr>
      <w:rFonts w:ascii="Arial" w:hAnsi="Arial"/>
      <w:b/>
      <w:caps/>
      <w:sz w:val="32"/>
    </w:rPr>
    <w:pPr>
      <w:jc w:val="center"/>
      <w:keepLines/>
      <w:keepNext/>
      <w:spacing w:before="480"/>
    </w:pPr>
  </w:style>
  <w:style w:type="paragraph" w:styleId="866" w:customStyle="1">
    <w:name w:val="заголовок 2"/>
    <w:basedOn w:val="672"/>
    <w:next w:val="876"/>
    <w:rPr>
      <w:rFonts w:ascii="Arial" w:hAnsi="Arial"/>
      <w:b/>
      <w:caps/>
      <w:sz w:val="28"/>
    </w:rPr>
    <w:pPr>
      <w:jc w:val="center"/>
      <w:keepLines/>
      <w:keepNext/>
      <w:spacing w:before="480"/>
    </w:pPr>
  </w:style>
  <w:style w:type="paragraph" w:styleId="867" w:customStyle="1">
    <w:name w:val="заголовок 3"/>
    <w:basedOn w:val="672"/>
    <w:next w:val="672"/>
    <w:rPr>
      <w:rFonts w:ascii="Arial" w:hAnsi="Arial"/>
      <w:sz w:val="24"/>
    </w:rPr>
    <w:pPr>
      <w:ind w:firstLine="709"/>
      <w:jc w:val="both"/>
      <w:keepNext/>
      <w:spacing w:lineRule="auto" w:line="348" w:after="60" w:before="240"/>
    </w:pPr>
  </w:style>
  <w:style w:type="paragraph" w:styleId="868" w:customStyle="1">
    <w:name w:val="заголовок 4"/>
    <w:basedOn w:val="672"/>
    <w:next w:val="672"/>
    <w:rPr>
      <w:b/>
      <w:sz w:val="28"/>
    </w:rPr>
    <w:pPr>
      <w:jc w:val="both"/>
      <w:keepNext/>
      <w:outlineLvl w:val="3"/>
    </w:pPr>
  </w:style>
  <w:style w:type="character" w:styleId="869" w:customStyle="1">
    <w:name w:val="Основной шрифт"/>
  </w:style>
  <w:style w:type="paragraph" w:styleId="870" w:customStyle="1">
    <w:name w:val="текст сноски"/>
    <w:basedOn w:val="672"/>
    <w:rPr>
      <w:sz w:val="28"/>
    </w:rPr>
    <w:pPr>
      <w:ind w:left="142" w:hanging="142"/>
      <w:jc w:val="both"/>
      <w:keepLines/>
      <w:spacing w:lineRule="auto" w:line="288"/>
    </w:pPr>
  </w:style>
  <w:style w:type="paragraph" w:styleId="871" w:customStyle="1">
    <w:name w:val="Должность"/>
    <w:basedOn w:val="672"/>
    <w:next w:val="873"/>
    <w:rPr>
      <w:rFonts w:ascii="Arial" w:hAnsi="Arial"/>
      <w:spacing w:val="-4"/>
      <w:sz w:val="24"/>
    </w:rPr>
    <w:pPr>
      <w:keepLines/>
      <w:keepNext/>
      <w:spacing w:before="180"/>
      <w:tabs>
        <w:tab w:val="left" w:pos="284" w:leader="none"/>
      </w:tabs>
    </w:pPr>
  </w:style>
  <w:style w:type="paragraph" w:styleId="872" w:customStyle="1">
    <w:name w:val="Код"/>
    <w:basedOn w:val="865"/>
    <w:next w:val="866"/>
    <w:rPr>
      <w:caps w:val="false"/>
      <w:spacing w:val="10"/>
      <w:sz w:val="28"/>
    </w:rPr>
    <w:pPr>
      <w:spacing w:before="0"/>
    </w:pPr>
  </w:style>
  <w:style w:type="paragraph" w:styleId="873" w:customStyle="1">
    <w:name w:val="ФИО"/>
    <w:basedOn w:val="672"/>
    <w:next w:val="871"/>
    <w:rPr>
      <w:rFonts w:ascii="Arial" w:hAnsi="Arial"/>
      <w:sz w:val="24"/>
    </w:rPr>
    <w:pPr>
      <w:keepLines/>
      <w:tabs>
        <w:tab w:val="left" w:pos="284" w:leader="none"/>
        <w:tab w:val="left" w:pos="5670" w:leader="none"/>
        <w:tab w:val="left" w:pos="7513" w:leader="none"/>
      </w:tabs>
    </w:pPr>
  </w:style>
  <w:style w:type="paragraph" w:styleId="874" w:customStyle="1">
    <w:name w:val="оглл"/>
    <w:basedOn w:val="875"/>
    <w:rPr>
      <w:rFonts w:ascii="Times New Roman" w:hAnsi="Times New Roman"/>
      <w:caps/>
      <w:spacing w:val="30"/>
      <w:sz w:val="36"/>
    </w:rPr>
    <w:pPr>
      <w:jc w:val="center"/>
      <w:spacing w:after="120"/>
    </w:pPr>
  </w:style>
  <w:style w:type="paragraph" w:styleId="875" w:customStyle="1">
    <w:name w:val="оглавление 1"/>
    <w:basedOn w:val="672"/>
    <w:next w:val="672"/>
    <w:rPr>
      <w:rFonts w:ascii="Arial" w:hAnsi="Arial"/>
      <w:b/>
      <w:sz w:val="28"/>
    </w:rPr>
    <w:pPr>
      <w:jc w:val="both"/>
      <w:spacing w:lineRule="auto" w:line="264"/>
      <w:tabs>
        <w:tab w:val="right" w:pos="9355" w:leader="dot"/>
      </w:tabs>
    </w:pPr>
  </w:style>
  <w:style w:type="paragraph" w:styleId="876" w:customStyle="1">
    <w:name w:val="Поселки"/>
    <w:basedOn w:val="867"/>
    <w:next w:val="871"/>
    <w:rPr>
      <w:sz w:val="20"/>
    </w:rPr>
    <w:pPr>
      <w:ind w:firstLine="0"/>
      <w:jc w:val="center"/>
      <w:spacing w:lineRule="auto" w:line="240" w:after="120" w:before="0"/>
    </w:pPr>
  </w:style>
  <w:style w:type="paragraph" w:styleId="877">
    <w:name w:val="Header"/>
    <w:basedOn w:val="672"/>
    <w:link w:val="898"/>
    <w:uiPriority w:val="99"/>
    <w:rPr>
      <w:sz w:val="28"/>
    </w:rPr>
    <w:pPr>
      <w:ind w:firstLine="709"/>
      <w:jc w:val="both"/>
      <w:spacing w:lineRule="auto" w:line="348"/>
      <w:tabs>
        <w:tab w:val="center" w:pos="4153" w:leader="none"/>
        <w:tab w:val="right" w:pos="8306" w:leader="none"/>
      </w:tabs>
    </w:pPr>
  </w:style>
  <w:style w:type="paragraph" w:styleId="878">
    <w:name w:val="Footer"/>
    <w:basedOn w:val="672"/>
    <w:link w:val="722"/>
    <w:rPr>
      <w:sz w:val="28"/>
    </w:rPr>
    <w:pPr>
      <w:ind w:firstLine="709"/>
      <w:jc w:val="both"/>
      <w:spacing w:lineRule="auto" w:line="348"/>
      <w:tabs>
        <w:tab w:val="center" w:pos="4153" w:leader="none"/>
        <w:tab w:val="right" w:pos="8306" w:leader="none"/>
      </w:tabs>
    </w:pPr>
  </w:style>
  <w:style w:type="paragraph" w:styleId="879" w:customStyle="1">
    <w:name w:val="Heading"/>
    <w:rPr>
      <w:b/>
      <w:sz w:val="24"/>
    </w:rPr>
  </w:style>
  <w:style w:type="paragraph" w:styleId="880" w:customStyle="1">
    <w:name w:val="Preformat"/>
    <w:rPr>
      <w:rFonts w:ascii="Courier New" w:hAnsi="Courier New"/>
    </w:rPr>
  </w:style>
  <w:style w:type="paragraph" w:styleId="881">
    <w:name w:val="Title"/>
    <w:basedOn w:val="672"/>
    <w:link w:val="712"/>
    <w:qFormat/>
    <w:rPr>
      <w:b/>
      <w:sz w:val="28"/>
    </w:rPr>
    <w:pPr>
      <w:ind w:firstLine="142"/>
      <w:jc w:val="center"/>
    </w:pPr>
  </w:style>
  <w:style w:type="paragraph" w:styleId="882">
    <w:name w:val="Body Text Indent"/>
    <w:basedOn w:val="672"/>
    <w:rPr>
      <w:b/>
    </w:rPr>
    <w:pPr>
      <w:ind w:firstLine="5670"/>
    </w:pPr>
  </w:style>
  <w:style w:type="paragraph" w:styleId="883">
    <w:name w:val="List"/>
    <w:basedOn w:val="672"/>
    <w:rPr>
      <w:rFonts w:ascii="Arial" w:hAnsi="Arial"/>
      <w:i/>
      <w:sz w:val="20"/>
    </w:rPr>
  </w:style>
  <w:style w:type="paragraph" w:styleId="884">
    <w:name w:val="Body Text"/>
    <w:basedOn w:val="672"/>
    <w:pPr>
      <w:jc w:val="both"/>
    </w:pPr>
  </w:style>
  <w:style w:type="paragraph" w:styleId="885" w:customStyle="1">
    <w:name w:val="Nonformat"/>
    <w:basedOn w:val="672"/>
    <w:rPr>
      <w:rFonts w:ascii="Consultant" w:hAnsi="Consultant"/>
      <w:sz w:val="20"/>
    </w:rPr>
  </w:style>
  <w:style w:type="character" w:styleId="886">
    <w:name w:val="page number"/>
    <w:basedOn w:val="682"/>
  </w:style>
  <w:style w:type="table" w:styleId="887">
    <w:name w:val="Table Grid"/>
    <w:basedOn w:val="683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8">
    <w:name w:val="Body Text 2"/>
    <w:basedOn w:val="672"/>
    <w:rPr>
      <w:sz w:val="24"/>
    </w:rPr>
    <w:pPr>
      <w:jc w:val="center"/>
      <w:spacing w:lineRule="auto" w:line="348"/>
    </w:pPr>
  </w:style>
  <w:style w:type="paragraph" w:styleId="889">
    <w:name w:val="Balloon Text"/>
    <w:basedOn w:val="672"/>
    <w:semiHidden/>
    <w:rPr>
      <w:rFonts w:ascii="Tahoma" w:hAnsi="Tahoma" w:cs="Tahoma"/>
      <w:sz w:val="16"/>
      <w:szCs w:val="16"/>
    </w:rPr>
  </w:style>
  <w:style w:type="paragraph" w:styleId="890" w:customStyle="1">
    <w:name w:val="ConsPlusNonformat"/>
    <w:rPr>
      <w:rFonts w:ascii="Courier New" w:hAnsi="Courier New" w:cs="Courier New"/>
    </w:rPr>
    <w:pPr>
      <w:widowControl w:val="off"/>
    </w:pPr>
  </w:style>
  <w:style w:type="paragraph" w:styleId="891">
    <w:name w:val="Body Text Indent 2"/>
    <w:basedOn w:val="672"/>
    <w:pPr>
      <w:ind w:left="283"/>
      <w:spacing w:lineRule="auto" w:line="480" w:after="120"/>
    </w:pPr>
  </w:style>
  <w:style w:type="paragraph" w:styleId="892" w:customStyle="1">
    <w:name w:val="ConsPlusTitle"/>
    <w:rPr>
      <w:b/>
      <w:bCs/>
      <w:sz w:val="28"/>
      <w:szCs w:val="28"/>
    </w:rPr>
    <w:pPr>
      <w:widowControl w:val="off"/>
    </w:pPr>
  </w:style>
  <w:style w:type="paragraph" w:styleId="893" w:customStyle="1">
    <w:name w:val="ConsPlusNormal"/>
    <w:rPr>
      <w:rFonts w:ascii="Arial" w:hAnsi="Arial" w:cs="Arial"/>
    </w:rPr>
    <w:pPr>
      <w:ind w:firstLine="720"/>
      <w:widowControl w:val="off"/>
    </w:pPr>
  </w:style>
  <w:style w:type="character" w:styleId="894">
    <w:name w:val="Hyperlink"/>
    <w:basedOn w:val="682"/>
    <w:rPr>
      <w:color w:val="0000FF"/>
      <w:u w:val="single"/>
    </w:rPr>
  </w:style>
  <w:style w:type="paragraph" w:styleId="895" w:customStyle="1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896">
    <w:name w:val="Normal (Web)"/>
    <w:basedOn w:val="672"/>
    <w:uiPriority w:val="99"/>
    <w:unhideWhenUsed/>
    <w:rPr>
      <w:sz w:val="24"/>
      <w:szCs w:val="24"/>
    </w:rPr>
    <w:pPr>
      <w:spacing w:after="100" w:afterAutospacing="1" w:before="100" w:beforeAutospacing="1"/>
    </w:pPr>
  </w:style>
  <w:style w:type="paragraph" w:styleId="897" w:customStyle="1">
    <w:name w:val="Standard"/>
    <w:rPr>
      <w:sz w:val="26"/>
    </w:rPr>
  </w:style>
  <w:style w:type="character" w:styleId="898" w:customStyle="1">
    <w:name w:val="Верхний колонтитул Знак"/>
    <w:basedOn w:val="682"/>
    <w:link w:val="877"/>
    <w:uiPriority w:val="99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B0E029F6-8D51-4185-B482-BC006607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ONLYOFFICE/6.3.1.56</Application>
  <Company>Elcom Ltd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revision>18</cp:revision>
  <dcterms:created xsi:type="dcterms:W3CDTF">2021-03-31T08:41:00Z</dcterms:created>
  <dcterms:modified xsi:type="dcterms:W3CDTF">2022-03-22T13:27:24Z</dcterms:modified>
</cp:coreProperties>
</file>